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9C0BE">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eastAsia" w:ascii="楷体" w:hAnsi="楷体" w:eastAsia="楷体" w:cs="楷体"/>
          <w:b w:val="0"/>
          <w:bCs/>
          <w:sz w:val="28"/>
          <w:szCs w:val="28"/>
        </w:rPr>
      </w:pPr>
      <w:r>
        <w:rPr>
          <w:rFonts w:hint="eastAsia"/>
        </w:rPr>
        <w:t>现实</w:t>
      </w:r>
      <w:r>
        <w:rPr>
          <w:rFonts w:hint="eastAsia"/>
          <w:lang w:val="en-US" w:eastAsia="zh-CN"/>
        </w:rPr>
        <w:t>中的</w:t>
      </w:r>
      <w:r>
        <w:rPr>
          <w:rFonts w:hint="eastAsia"/>
        </w:rPr>
        <w:t>桃花源：</w:t>
      </w:r>
      <w:r>
        <w:rPr>
          <w:rFonts w:hint="eastAsia"/>
          <w:lang w:val="en-US" w:eastAsia="zh-CN"/>
        </w:rPr>
        <w:t>异体字里</w:t>
      </w:r>
      <w:r>
        <w:rPr>
          <w:rFonts w:hint="eastAsia"/>
        </w:rPr>
        <w:t>的文化节奏</w:t>
      </w:r>
      <w:r>
        <w:rPr>
          <w:rFonts w:hint="eastAsia"/>
        </w:rPr>
        <w:br w:type="textWrapping"/>
      </w:r>
      <w:r>
        <w:rPr>
          <w:rFonts w:hint="eastAsia"/>
          <w:lang w:eastAsia="zh-CN"/>
        </w:rPr>
        <w:t>——</w:t>
      </w:r>
      <w:r>
        <w:rPr>
          <w:rFonts w:hint="eastAsia" w:ascii="楷体" w:hAnsi="楷体" w:eastAsia="楷体" w:cs="楷体"/>
          <w:b w:val="0"/>
          <w:bCs/>
          <w:sz w:val="28"/>
          <w:szCs w:val="28"/>
        </w:rPr>
        <w:t>清朝中晚期壮族地区汉字异体字文献传承研究</w:t>
      </w:r>
    </w:p>
    <w:p w14:paraId="4070962F">
      <w:pPr>
        <w:rPr>
          <w:rFonts w:hint="eastAsia"/>
        </w:rPr>
      </w:pPr>
    </w:p>
    <w:p w14:paraId="601D83A9">
      <w:pPr>
        <w:bidi w:val="0"/>
        <w:jc w:val="center"/>
        <w:rPr>
          <w:rFonts w:hint="eastAsia" w:ascii="楷体" w:hAnsi="楷体" w:eastAsia="楷体" w:cs="楷体"/>
          <w:lang w:val="en-US" w:eastAsia="zh-CN"/>
        </w:rPr>
      </w:pPr>
      <w:r>
        <w:rPr>
          <w:rFonts w:hint="eastAsia" w:ascii="楷体" w:hAnsi="楷体" w:eastAsia="楷体" w:cs="楷体"/>
          <w:lang w:val="en-US" w:eastAsia="zh-CN"/>
        </w:rPr>
        <w:t>姓名：肖博戈  项目：元培少年学者 社会学/教育学/人类学方向</w:t>
      </w:r>
    </w:p>
    <w:p w14:paraId="597AEAC9">
      <w:pPr>
        <w:pageBreakBefore w:val="0"/>
        <w:widowControl w:val="0"/>
        <w:kinsoku/>
        <w:wordWrap/>
        <w:overflowPunct/>
        <w:topLinePunct w:val="0"/>
        <w:autoSpaceDE/>
        <w:autoSpaceDN/>
        <w:bidi w:val="0"/>
        <w:adjustRightInd/>
        <w:snapToGrid/>
        <w:spacing w:line="240" w:lineRule="auto"/>
        <w:jc w:val="center"/>
        <w:textAlignment w:val="auto"/>
        <w:rPr>
          <w:rFonts w:hint="eastAsia" w:ascii="SimSun" w:hAnsi="SimSun" w:eastAsia="SimSun" w:cs="SimSun"/>
          <w:b w:val="0"/>
          <w:bCs w:val="0"/>
          <w:sz w:val="21"/>
          <w:szCs w:val="21"/>
          <w:lang w:val="en-US" w:eastAsia="zh-CN"/>
        </w:rPr>
      </w:pPr>
    </w:p>
    <w:p w14:paraId="00321071">
      <w:pPr>
        <w:pStyle w:val="17"/>
        <w:keepNext w:val="0"/>
        <w:keepLines w:val="0"/>
        <w:widowControl/>
        <w:suppressLineNumbers w:val="0"/>
        <w:spacing w:line="360" w:lineRule="auto"/>
        <w:rPr>
          <w:rFonts w:hint="eastAsia" w:ascii="楷体" w:hAnsi="楷体" w:eastAsia="楷体" w:cs="楷体"/>
        </w:rPr>
      </w:pPr>
      <w:r>
        <w:rPr>
          <w:rStyle w:val="20"/>
          <w:rFonts w:hint="eastAsia"/>
          <w:sz w:val="24"/>
          <w:szCs w:val="24"/>
          <w:lang w:val="en-US" w:eastAsia="zh-CN"/>
        </w:rPr>
        <w:t>摘要：</w:t>
      </w:r>
      <w:r>
        <w:rPr>
          <w:rFonts w:hint="eastAsia" w:ascii="楷体" w:hAnsi="楷体" w:eastAsia="楷体" w:cs="楷体"/>
        </w:rPr>
        <w:t>清代中晚期的广西壮族地区，作为汉文化与东南亚文化圈的交汇之地，在文字传承与文化互动中展现出深厚的民族智慧与独特的文化节奏。异体字这一承载文化记忆的符号，既是中心与边缘文化交融的产物，也是文明传播与地方适应的见证。本文以壮族的宗教文献、民间手抄本为核心，通过历史文本的精细解读与跨文化视角的综合分析，探讨其对汉字异体字的保留，进而阐明汉文化从中心传播至边缘，并通过壮族地区向更广泛文化圈辐射的复杂机制。研究发现，壮族地区凭借地理独特性与文化灵活性，不仅延续了大量已被汉族中心淘汰的文字形式，还赋予这些符号新的地方意义，成为区域文化认同的重要象征。本文认为，以壮族为代表的少数民族在“天下体系”中，以其独特的文化节奏与创造力丰富了中华文明的内涵，展现了多元一体的文化格局。</w:t>
      </w:r>
      <w:r>
        <w:rPr>
          <w:rFonts w:hint="eastAsia" w:ascii="楷体" w:hAnsi="楷体" w:eastAsia="楷体" w:cs="楷体"/>
          <w:lang w:val="en-US" w:eastAsia="zh-CN"/>
        </w:rPr>
        <w:t>同时，</w:t>
      </w:r>
      <w:r>
        <w:rPr>
          <w:rFonts w:hint="eastAsia" w:ascii="楷体" w:hAnsi="楷体" w:eastAsia="楷体" w:cs="楷体"/>
        </w:rPr>
        <w:t>异体字作为历史记忆与地方智慧的交织体，其传承路径是中华文明内在韧性与文化多样性的重要写照，为当代文化保护与全球化语境中的文化认同</w:t>
      </w:r>
      <w:r>
        <w:rPr>
          <w:rFonts w:hint="eastAsia" w:ascii="楷体" w:hAnsi="楷体" w:eastAsia="楷体" w:cs="楷体"/>
          <w:lang w:val="en-US" w:eastAsia="zh-CN"/>
        </w:rPr>
        <w:t>与传承</w:t>
      </w:r>
      <w:r>
        <w:rPr>
          <w:rFonts w:hint="eastAsia" w:ascii="楷体" w:hAnsi="楷体" w:eastAsia="楷体" w:cs="楷体"/>
        </w:rPr>
        <w:t>提供了</w:t>
      </w:r>
      <w:r>
        <w:rPr>
          <w:rFonts w:hint="eastAsia" w:ascii="楷体" w:hAnsi="楷体" w:eastAsia="楷体" w:cs="楷体"/>
          <w:lang w:val="en-US" w:eastAsia="zh-CN"/>
        </w:rPr>
        <w:t>重要</w:t>
      </w:r>
      <w:r>
        <w:rPr>
          <w:rFonts w:hint="eastAsia" w:ascii="楷体" w:hAnsi="楷体" w:eastAsia="楷体" w:cs="楷体"/>
        </w:rPr>
        <w:t>启示。</w:t>
      </w:r>
    </w:p>
    <w:p w14:paraId="736E6F2F">
      <w:pPr>
        <w:pStyle w:val="17"/>
        <w:keepNext w:val="0"/>
        <w:keepLines w:val="0"/>
        <w:widowControl/>
        <w:suppressLineNumbers w:val="0"/>
        <w:spacing w:line="360" w:lineRule="auto"/>
        <w:rPr>
          <w:rFonts w:hint="eastAsia" w:ascii="楷体" w:hAnsi="楷体" w:eastAsia="楷体" w:cs="楷体"/>
        </w:rPr>
      </w:pPr>
      <w:r>
        <w:rPr>
          <w:rFonts w:hint="eastAsia" w:ascii="SimHei" w:hAnsi="SimHei" w:eastAsia="SimHei" w:cs="SimHei"/>
          <w:b/>
          <w:bCs/>
        </w:rPr>
        <w:t>关键词：</w:t>
      </w:r>
      <w:r>
        <w:rPr>
          <w:rFonts w:hint="eastAsia" w:ascii="楷体" w:hAnsi="楷体" w:eastAsia="楷体" w:cs="楷体"/>
        </w:rPr>
        <w:t>壮族、异体字、清代中晚期、民族文化、文字传承、文化多样性</w:t>
      </w:r>
    </w:p>
    <w:p w14:paraId="2D41EB13">
      <w:pPr>
        <w:bidi w:val="0"/>
        <w:spacing w:line="360" w:lineRule="auto"/>
        <w:ind w:firstLine="480" w:firstLineChars="200"/>
        <w:rPr>
          <w:rFonts w:hint="eastAsia"/>
        </w:rPr>
      </w:pPr>
      <w:r>
        <w:rPr>
          <w:rFonts w:hint="eastAsia"/>
        </w:rPr>
        <w:t>《桃花源记》中所描绘的隐逸之境，既是文学的梦境，也是文化的隐喻。渔人问及桃花源居民的来路时，居民答曰：</w:t>
      </w:r>
      <w:r>
        <w:rPr>
          <w:rFonts w:hint="eastAsia"/>
          <w:lang w:eastAsia="zh-CN"/>
        </w:rPr>
        <w:t>“</w:t>
      </w:r>
      <w:r>
        <w:rPr>
          <w:rFonts w:hint="eastAsia"/>
        </w:rPr>
        <w:t>自云先世避秦时乱，率妻子邑人来此绝境，不复出焉，遂与外人间隔。问今是何世，乃不知有汉，无论魏晋。”</w:t>
      </w:r>
      <w:r>
        <w:rPr>
          <w:rStyle w:val="14"/>
          <w:rFonts w:hint="eastAsia"/>
        </w:rPr>
        <w:footnoteReference w:id="0"/>
      </w:r>
      <w:r>
        <w:rPr>
          <w:rFonts w:hint="eastAsia"/>
        </w:rPr>
        <w:t>这一描写不仅展现了桃花源的隔绝与宁静，更揭示了一种对外界变迁的</w:t>
      </w:r>
      <w:r>
        <w:rPr>
          <w:rFonts w:hint="eastAsia"/>
          <w:lang w:val="en-US" w:eastAsia="zh-CN"/>
        </w:rPr>
        <w:t>淡漠</w:t>
      </w:r>
      <w:r>
        <w:rPr>
          <w:rFonts w:hint="eastAsia"/>
        </w:rPr>
        <w:t>与超脱。若将这一隐喻延展至</w:t>
      </w:r>
      <w:r>
        <w:rPr>
          <w:rFonts w:hint="eastAsia"/>
          <w:lang w:val="en-US" w:eastAsia="zh-CN"/>
        </w:rPr>
        <w:t>历史</w:t>
      </w:r>
      <w:r>
        <w:rPr>
          <w:rFonts w:hint="eastAsia"/>
        </w:rPr>
        <w:t>现实，渔人可视为中原汉文化的象征，而桃花源中的人则象征着</w:t>
      </w:r>
      <w:r>
        <w:rPr>
          <w:rFonts w:ascii="SimSun" w:hAnsi="SimSun" w:eastAsia="SimSun" w:cs="SimSun"/>
          <w:sz w:val="24"/>
          <w:szCs w:val="24"/>
        </w:rPr>
        <w:t>壮族为代表的西南少数民族</w:t>
      </w:r>
      <w:r>
        <w:rPr>
          <w:rFonts w:hint="eastAsia" w:ascii="SimSun" w:hAnsi="SimSun" w:cs="SimSun"/>
          <w:sz w:val="24"/>
          <w:szCs w:val="24"/>
          <w:lang w:val="en-US" w:eastAsia="zh-CN"/>
        </w:rPr>
        <w:t>的</w:t>
      </w:r>
      <w:r>
        <w:rPr>
          <w:rFonts w:ascii="SimSun" w:hAnsi="SimSun" w:eastAsia="SimSun" w:cs="SimSun"/>
          <w:sz w:val="24"/>
          <w:szCs w:val="24"/>
        </w:rPr>
        <w:t>文化生态</w:t>
      </w:r>
      <w:r>
        <w:rPr>
          <w:rFonts w:hint="eastAsia"/>
        </w:rPr>
        <w:t>。在清代中晚期的西南边地，如同现实中的“桃花源”，以其相对独立的文化环境，保留了许多汉文化中早已被淘汰或规范化的异体字。这些异体字不仅是文字形式上的变体，更是</w:t>
      </w:r>
      <w:r>
        <w:rPr>
          <w:rFonts w:hint="eastAsia"/>
          <w:lang w:val="en-US" w:eastAsia="zh-CN"/>
        </w:rPr>
        <w:t>民族</w:t>
      </w:r>
      <w:r>
        <w:rPr>
          <w:rFonts w:hint="eastAsia"/>
        </w:rPr>
        <w:t>文化记忆的载体，</w:t>
      </w:r>
      <w:r>
        <w:rPr>
          <w:rFonts w:ascii="SimSun" w:hAnsi="SimSun" w:eastAsia="SimSun" w:cs="SimSun"/>
          <w:sz w:val="24"/>
          <w:szCs w:val="24"/>
        </w:rPr>
        <w:t>承载着中原文化在时间深处的遗韵</w:t>
      </w:r>
      <w:r>
        <w:rPr>
          <w:rFonts w:hint="eastAsia" w:ascii="SimSun" w:hAnsi="SimSun" w:cs="SimSun"/>
          <w:sz w:val="24"/>
          <w:szCs w:val="24"/>
          <w:lang w:eastAsia="zh-CN"/>
        </w:rPr>
        <w:t>，</w:t>
      </w:r>
      <w:r>
        <w:rPr>
          <w:rFonts w:hint="eastAsia"/>
        </w:rPr>
        <w:t>记录了那些因历史变迁而湮灭的传统。在这些边缘地区，汉文化与地方文化交织共生，异体字被赋予了新的生命，形成了一种既保守又创造的文化传承模式。</w:t>
      </w:r>
    </w:p>
    <w:p w14:paraId="0FB063C9">
      <w:pPr>
        <w:bidi w:val="0"/>
        <w:spacing w:line="360" w:lineRule="auto"/>
        <w:ind w:firstLine="480" w:firstLineChars="200"/>
        <w:rPr>
          <w:rFonts w:hint="eastAsia" w:eastAsia="SimSun"/>
          <w:lang w:eastAsia="zh-CN"/>
        </w:rPr>
      </w:pPr>
      <w:r>
        <w:rPr>
          <w:rFonts w:hint="eastAsia"/>
        </w:rPr>
        <w:t>桃花源中的居民虽远离历史的主流，却在自成体系的生活中延续着独特的文化秩序。同样，</w:t>
      </w:r>
      <w:r>
        <w:rPr>
          <w:rFonts w:hint="eastAsia"/>
          <w:lang w:val="en-US" w:eastAsia="zh-CN"/>
        </w:rPr>
        <w:t>壮</w:t>
      </w:r>
      <w:r>
        <w:rPr>
          <w:rFonts w:hint="eastAsia"/>
        </w:rPr>
        <w:t>族地区在历史的深处书写着自己的文化故事，以异体字为媒介承载记忆、适应环境、丰富自身。这一现象不仅体现了边缘文化的韧性，也揭示了文化中心与边缘之间的张力与互动。正如陶渊明笔下的桃花源那样寓意中华文明的一种内在韧性，西南少数民族地区以其独特的“文化节奏”</w:t>
      </w:r>
      <w:r>
        <w:rPr>
          <w:rFonts w:hint="eastAsia"/>
          <w:lang w:val="en-US" w:eastAsia="zh-CN"/>
        </w:rPr>
        <w:t>延续</w:t>
      </w:r>
      <w:r>
        <w:rPr>
          <w:rFonts w:hint="eastAsia"/>
        </w:rPr>
        <w:t>了汉文化的古老韵律。在现代视野下，研究这些文字与文化的传承路径，已超越文字史的范畴，成为理解中华民族多样性与文化整体性的关键窗口。这些文化实践不仅提醒我们关注文化中心与边缘的互动，更为现代文化保护与民族认同提供了宝贵的启示。</w:t>
      </w:r>
    </w:p>
    <w:p w14:paraId="4AC29623">
      <w:pPr>
        <w:pStyle w:val="2"/>
        <w:tabs>
          <w:tab w:val="left" w:pos="1249"/>
        </w:tabs>
        <w:bidi w:val="0"/>
        <w:rPr>
          <w:rStyle w:val="19"/>
          <w:rFonts w:hint="eastAsia"/>
          <w:b/>
        </w:rPr>
      </w:pPr>
      <w:r>
        <w:rPr>
          <w:rFonts w:hint="eastAsia"/>
          <w:lang w:val="en-US" w:eastAsia="zh-CN"/>
        </w:rPr>
        <w:t>内含天下的中国：中心文化与边缘文化的互动模式</w:t>
      </w:r>
    </w:p>
    <w:p w14:paraId="37F20265">
      <w:pPr>
        <w:bidi w:val="0"/>
        <w:ind w:firstLine="480" w:firstLineChars="200"/>
        <w:rPr>
          <w:rFonts w:hint="default" w:eastAsia="SimSun"/>
          <w:lang w:val="en-US" w:eastAsia="zh-CN"/>
        </w:rPr>
      </w:pPr>
      <w:r>
        <w:rPr>
          <w:rFonts w:hint="eastAsia"/>
        </w:rPr>
        <w:t>赵汀阳教授在关于“天下体系”的讨论中指出：“天下秩序是能够化解旋涡的激烈冲突而兼收并蓄的万民共在制度，它开创了多文化多民族的共在模式，也创制了权力分治一体模式。即使在天下体系终结之后，天下精神也作为遗产而化为中国国家的内部结构，因此得以形成一个多文化多民族的大一统国家。所谓大一统，实质就是以天下为内在结构的国家</w:t>
      </w:r>
      <w:r>
        <w:rPr>
          <w:rFonts w:hint="eastAsia"/>
          <w:lang w:eastAsia="zh-CN"/>
        </w:rPr>
        <w:t>。</w:t>
      </w:r>
      <w:r>
        <w:rPr>
          <w:rFonts w:hint="eastAsia"/>
        </w:rPr>
        <w:t>”</w:t>
      </w:r>
      <w:r>
        <w:rPr>
          <w:rFonts w:hint="eastAsia"/>
          <w:vertAlign w:val="superscript"/>
          <w:lang w:eastAsia="zh-CN"/>
        </w:rPr>
        <w:fldChar w:fldCharType="begin"/>
      </w:r>
      <w:r>
        <w:rPr>
          <w:rFonts w:hint="eastAsia"/>
          <w:vertAlign w:val="superscript"/>
          <w:lang w:eastAsia="zh-CN"/>
        </w:rPr>
        <w:instrText xml:space="preserve"> REF _Ref13552 \r \h </w:instrText>
      </w:r>
      <w:r>
        <w:rPr>
          <w:rFonts w:hint="eastAsia"/>
          <w:vertAlign w:val="superscript"/>
          <w:lang w:eastAsia="zh-CN"/>
        </w:rPr>
        <w:fldChar w:fldCharType="separate"/>
      </w:r>
      <w:r>
        <w:rPr>
          <w:rFonts w:hint="eastAsia"/>
          <w:vertAlign w:val="superscript"/>
          <w:lang w:eastAsia="zh-CN"/>
        </w:rPr>
        <w:t>[2]</w:t>
      </w:r>
      <w:r>
        <w:rPr>
          <w:rFonts w:hint="eastAsia"/>
          <w:vertAlign w:val="superscript"/>
          <w:lang w:eastAsia="zh-CN"/>
        </w:rPr>
        <w:fldChar w:fldCharType="end"/>
      </w:r>
      <w:r>
        <w:rPr>
          <w:rFonts w:hint="eastAsia"/>
        </w:rPr>
        <w:t>这一观点清晰地阐明了中国文化体系的核心特点，即其超越民族国家</w:t>
      </w:r>
      <w:r>
        <w:rPr>
          <w:rFonts w:hint="eastAsia"/>
          <w:lang w:eastAsia="zh-CN"/>
        </w:rPr>
        <w:t>、</w:t>
      </w:r>
      <w:r>
        <w:rPr>
          <w:rFonts w:hint="eastAsia"/>
          <w:lang w:val="en-US" w:eastAsia="zh-CN"/>
        </w:rPr>
        <w:t>帝国</w:t>
      </w:r>
      <w:r>
        <w:rPr>
          <w:rFonts w:hint="eastAsia"/>
        </w:rPr>
        <w:t>与主权概念，通过“天下”这一文化框架，实现了多民族、多文化共存的秩序。中国的“天下”并非以固定疆域为核心，而是一种具有高度灵活性的文明性结构。这种结构的根本在于文化的传承性与政治的包容性，其核心价值贯穿于王朝更迭与历史演变的全过程，进而将中国定义为“文明国家”或“文明体”更为贴切。因此，中国的边界可以被理解为“中华文明所及之地”，而非单纯的地理疆域</w:t>
      </w:r>
      <w:r>
        <w:rPr>
          <w:rFonts w:hint="eastAsia"/>
          <w:lang w:eastAsia="zh-CN"/>
        </w:rPr>
        <w:t>，</w:t>
      </w:r>
      <w:r>
        <w:rPr>
          <w:rFonts w:hint="eastAsia"/>
          <w:lang w:val="en-US" w:eastAsia="zh-CN"/>
        </w:rPr>
        <w:t>所以古代中国的边界是模糊的。</w:t>
      </w:r>
    </w:p>
    <w:p w14:paraId="2DD4B146">
      <w:pPr>
        <w:bidi w:val="0"/>
        <w:ind w:firstLine="480" w:firstLineChars="200"/>
        <w:rPr>
          <w:rFonts w:hint="eastAsia"/>
        </w:rPr>
      </w:pPr>
      <w:r>
        <w:rPr>
          <w:rFonts w:hint="eastAsia" w:ascii="SimSun" w:hAnsi="SimSun" w:eastAsia="SimSun" w:cs="SimSun"/>
        </w:rPr>
        <w:t>历史地看，正如谭其骧先生（1982）主编的《中国历史地图集》所示</w:t>
      </w:r>
      <w:r>
        <w:rPr>
          <w:rFonts w:hint="eastAsia" w:ascii="SimSun" w:hAnsi="SimSun" w:eastAsia="SimSun" w:cs="SimSun"/>
          <w:lang w:eastAsia="zh-CN"/>
        </w:rPr>
        <w:t>，</w:t>
      </w:r>
      <w:r>
        <w:rPr>
          <w:rFonts w:hint="eastAsia" w:ascii="SimSun" w:hAnsi="SimSun" w:eastAsia="SimSun" w:cs="SimSun"/>
        </w:rPr>
        <w:t>中国</w:t>
      </w:r>
      <w:r>
        <w:rPr>
          <w:rFonts w:hint="eastAsia" w:ascii="SimSun" w:hAnsi="SimSun" w:eastAsia="SimSun" w:cs="SimSun"/>
          <w:sz w:val="24"/>
          <w:szCs w:val="24"/>
        </w:rPr>
        <w:t>历代王朝的版图从未固定不变，</w:t>
      </w:r>
      <w:r>
        <w:rPr>
          <w:rFonts w:hint="eastAsia" w:ascii="SimSun" w:hAnsi="SimSun" w:eastAsia="SimSun" w:cs="SimSun"/>
          <w:lang w:val="en-US" w:eastAsia="zh-CN"/>
        </w:rPr>
        <w:t>而是</w:t>
      </w:r>
      <w:r>
        <w:rPr>
          <w:rFonts w:hint="eastAsia" w:ascii="SimSun" w:hAnsi="SimSun" w:eastAsia="SimSun" w:cs="SimSun"/>
        </w:rPr>
        <w:t>随着中</w:t>
      </w:r>
      <w:r>
        <w:rPr>
          <w:rFonts w:hint="eastAsia"/>
        </w:rPr>
        <w:t>原政权的盛衰动态变化</w:t>
      </w:r>
      <w:r>
        <w:rPr>
          <w:rFonts w:hint="eastAsia"/>
          <w:lang w:eastAsia="zh-CN"/>
        </w:rPr>
        <w:t>、</w:t>
      </w:r>
      <w:r>
        <w:rPr>
          <w:rFonts w:hint="eastAsia"/>
          <w:lang w:val="en-US" w:eastAsia="zh-CN"/>
        </w:rPr>
        <w:t>调整的</w:t>
      </w:r>
      <w:r>
        <w:rPr>
          <w:rFonts w:hint="eastAsia"/>
        </w:rPr>
        <w:t>。</w:t>
      </w:r>
      <w:r>
        <w:rPr>
          <w:rFonts w:hint="eastAsia"/>
          <w:vertAlign w:val="superscript"/>
          <w:lang w:eastAsia="zh-CN"/>
        </w:rPr>
        <w:fldChar w:fldCharType="begin"/>
      </w:r>
      <w:r>
        <w:rPr>
          <w:rFonts w:hint="eastAsia"/>
          <w:vertAlign w:val="superscript"/>
          <w:lang w:eastAsia="zh-CN"/>
        </w:rPr>
        <w:instrText xml:space="preserve"> REF _Ref16854 \r \h </w:instrText>
      </w:r>
      <w:r>
        <w:rPr>
          <w:rFonts w:hint="eastAsia"/>
          <w:vertAlign w:val="superscript"/>
          <w:lang w:eastAsia="zh-CN"/>
        </w:rPr>
        <w:fldChar w:fldCharType="separate"/>
      </w:r>
      <w:r>
        <w:rPr>
          <w:rFonts w:hint="eastAsia"/>
          <w:vertAlign w:val="superscript"/>
          <w:lang w:eastAsia="zh-CN"/>
        </w:rPr>
        <w:t>[3]</w:t>
      </w:r>
      <w:r>
        <w:rPr>
          <w:rFonts w:hint="eastAsia"/>
          <w:vertAlign w:val="superscript"/>
          <w:lang w:eastAsia="zh-CN"/>
        </w:rPr>
        <w:fldChar w:fldCharType="end"/>
      </w:r>
      <w:r>
        <w:rPr>
          <w:rFonts w:hint="eastAsia"/>
        </w:rPr>
        <w:t>赵汀阳</w:t>
      </w:r>
      <w:r>
        <w:rPr>
          <w:rFonts w:hint="eastAsia"/>
          <w:lang w:val="en-US" w:eastAsia="zh-CN"/>
        </w:rPr>
        <w:t>在《惠此中国：作为一个神性概念的中国》进一步指出，中国同时是一个国家，一个文明和一个历史，但在时间上，作为一个国家的中国、作为一个文明的中国与作为一个历史的中国却不是同时发生的，而是逐步形成而最终合一的。</w:t>
      </w:r>
      <w:r>
        <w:rPr>
          <w:rFonts w:hint="eastAsia"/>
          <w:vertAlign w:val="superscript"/>
          <w:lang w:val="en-US" w:eastAsia="zh-CN"/>
        </w:rPr>
        <w:fldChar w:fldCharType="begin"/>
      </w:r>
      <w:r>
        <w:rPr>
          <w:rFonts w:hint="eastAsia"/>
          <w:vertAlign w:val="superscript"/>
          <w:lang w:val="en-US" w:eastAsia="zh-CN"/>
        </w:rPr>
        <w:instrText xml:space="preserve"> REF _Ref17922 \r \h </w:instrText>
      </w:r>
      <w:r>
        <w:rPr>
          <w:rFonts w:hint="eastAsia"/>
          <w:vertAlign w:val="superscript"/>
          <w:lang w:val="en-US" w:eastAsia="zh-CN"/>
        </w:rPr>
        <w:fldChar w:fldCharType="separate"/>
      </w:r>
      <w:r>
        <w:rPr>
          <w:rFonts w:hint="eastAsia"/>
          <w:vertAlign w:val="superscript"/>
          <w:lang w:val="en-US" w:eastAsia="zh-CN"/>
        </w:rPr>
        <w:t>[4]</w:t>
      </w:r>
      <w:r>
        <w:rPr>
          <w:rFonts w:hint="eastAsia"/>
          <w:vertAlign w:val="superscript"/>
          <w:lang w:val="en-US" w:eastAsia="zh-CN"/>
        </w:rPr>
        <w:fldChar w:fldCharType="end"/>
      </w:r>
      <w:r>
        <w:rPr>
          <w:rFonts w:hint="eastAsia"/>
          <w:lang w:val="en-US" w:eastAsia="zh-CN"/>
        </w:rPr>
        <w:t>他</w:t>
      </w:r>
      <w:r>
        <w:rPr>
          <w:rFonts w:hint="eastAsia"/>
        </w:rPr>
        <w:t>的“天下</w:t>
      </w:r>
      <w:r>
        <w:rPr>
          <w:rFonts w:hint="eastAsia"/>
          <w:lang w:val="en-US" w:eastAsia="zh-CN"/>
        </w:rPr>
        <w:t>体系</w:t>
      </w:r>
      <w:r>
        <w:rPr>
          <w:rFonts w:hint="eastAsia"/>
        </w:rPr>
        <w:t>”理论揭示了一个重要</w:t>
      </w:r>
      <w:r>
        <w:rPr>
          <w:rFonts w:hint="eastAsia"/>
          <w:lang w:val="en-US" w:eastAsia="zh-CN"/>
        </w:rPr>
        <w:t>却隐而不宣</w:t>
      </w:r>
      <w:r>
        <w:rPr>
          <w:rFonts w:hint="eastAsia"/>
        </w:rPr>
        <w:t>的文化特点：</w:t>
      </w:r>
      <w:r>
        <w:rPr>
          <w:rFonts w:hint="eastAsia"/>
          <w:lang w:val="en-US" w:eastAsia="zh-CN"/>
        </w:rPr>
        <w:t>古代</w:t>
      </w:r>
      <w:r>
        <w:rPr>
          <w:rFonts w:hint="eastAsia"/>
        </w:rPr>
        <w:t>中国的历史疆域、政治版图与文化空间三者是彼此</w:t>
      </w:r>
      <w:r>
        <w:rPr>
          <w:rFonts w:hint="eastAsia"/>
          <w:lang w:val="en-US" w:eastAsia="zh-CN"/>
        </w:rPr>
        <w:t>独立</w:t>
      </w:r>
      <w:r>
        <w:rPr>
          <w:rFonts w:hint="eastAsia"/>
        </w:rPr>
        <w:t>的，不是单一的重叠关系。这种非重叠关系构成了中国文明得以延续的重要条件：文化空间的广谱包容与动态适应性，使得中原王朝在其政治版图扩展或收缩的过程中，始终能够在文化意义上维持其整体性。正如葛兆光</w:t>
      </w:r>
      <w:r>
        <w:rPr>
          <w:rFonts w:hint="eastAsia"/>
          <w:lang w:eastAsia="zh-CN"/>
        </w:rPr>
        <w:t>（</w:t>
      </w:r>
      <w:r>
        <w:rPr>
          <w:rFonts w:hint="eastAsia"/>
          <w:lang w:val="en-US" w:eastAsia="zh-CN"/>
        </w:rPr>
        <w:t>2011</w:t>
      </w:r>
      <w:r>
        <w:rPr>
          <w:rFonts w:hint="eastAsia"/>
          <w:lang w:eastAsia="zh-CN"/>
        </w:rPr>
        <w:t>）</w:t>
      </w:r>
      <w:r>
        <w:rPr>
          <w:rFonts w:hint="eastAsia"/>
          <w:lang w:val="en-US" w:eastAsia="zh-CN"/>
        </w:rPr>
        <w:t>提出</w:t>
      </w:r>
      <w:r>
        <w:rPr>
          <w:rFonts w:hint="eastAsia"/>
        </w:rPr>
        <w:t>，“文化认同上</w:t>
      </w:r>
      <w:r>
        <w:rPr>
          <w:rFonts w:hint="eastAsia"/>
          <w:lang w:eastAsia="zh-CN"/>
        </w:rPr>
        <w:t>，</w:t>
      </w:r>
      <w:r>
        <w:rPr>
          <w:rFonts w:hint="eastAsia"/>
        </w:rPr>
        <w:t>将中国视为一个边缘虽模糊但核心相当清晰的文化共同体”。</w:t>
      </w:r>
      <w:r>
        <w:rPr>
          <w:rFonts w:hint="eastAsia"/>
          <w:vertAlign w:val="superscript"/>
          <w:lang w:eastAsia="zh-CN"/>
        </w:rPr>
        <w:fldChar w:fldCharType="begin"/>
      </w:r>
      <w:r>
        <w:rPr>
          <w:rFonts w:hint="eastAsia"/>
          <w:vertAlign w:val="superscript"/>
          <w:lang w:eastAsia="zh-CN"/>
        </w:rPr>
        <w:instrText xml:space="preserve"> REF _Ref21057 \r \h </w:instrText>
      </w:r>
      <w:r>
        <w:rPr>
          <w:rFonts w:hint="eastAsia"/>
          <w:vertAlign w:val="superscript"/>
          <w:lang w:eastAsia="zh-CN"/>
        </w:rPr>
        <w:fldChar w:fldCharType="separate"/>
      </w:r>
      <w:r>
        <w:rPr>
          <w:rFonts w:hint="eastAsia"/>
          <w:vertAlign w:val="superscript"/>
          <w:lang w:eastAsia="zh-CN"/>
        </w:rPr>
        <w:t>[5]</w:t>
      </w:r>
      <w:r>
        <w:rPr>
          <w:rFonts w:hint="eastAsia"/>
          <w:vertAlign w:val="superscript"/>
          <w:lang w:eastAsia="zh-CN"/>
        </w:rPr>
        <w:fldChar w:fldCharType="end"/>
      </w:r>
      <w:r>
        <w:rPr>
          <w:rFonts w:hint="eastAsia"/>
          <w:lang w:val="en-US" w:eastAsia="zh-CN"/>
        </w:rPr>
        <w:t>在初步论述中国是文明国家上，更</w:t>
      </w:r>
      <w:r>
        <w:rPr>
          <w:rFonts w:hint="eastAsia"/>
        </w:rPr>
        <w:t>表明，古代中国的文化体系以中心为核心，边缘则较为模糊且变化不定。这种“中心清晰，边缘模糊”的特点既是中原文化辐射的结果，也体现了边缘文化的吸收与适应。</w:t>
      </w:r>
      <w:r>
        <w:rPr>
          <w:rFonts w:hint="eastAsia"/>
          <w:lang w:val="en-US" w:eastAsia="zh-CN"/>
        </w:rPr>
        <w:t>该</w:t>
      </w:r>
      <w:r>
        <w:rPr>
          <w:rFonts w:hint="eastAsia"/>
        </w:rPr>
        <w:t>文化特征构成了中华文明得以延续的重要基础。这种结构不仅为中国历史上王朝的治理模式提供了理论依据，也通过动态的中心—边缘互动模式塑造了中国文化的多元性与弹性。</w:t>
      </w:r>
    </w:p>
    <w:p w14:paraId="2E3C74C7">
      <w:pPr>
        <w:bidi w:val="0"/>
        <w:ind w:firstLine="480" w:firstLineChars="200"/>
        <w:rPr>
          <w:rFonts w:hint="eastAsia"/>
        </w:rPr>
      </w:pPr>
      <w:r>
        <w:rPr>
          <w:rFonts w:hint="eastAsia"/>
        </w:rPr>
        <w:t>从“天下体系”的这一内核出发，可以更清晰地理解中心文化与边缘文化的互动模式。一个形象的比喻是，将中原文化视为一块石头，当这块石头落入水面时，便会在水面上泛起一圈圈涟漪。这种水波纹的扩散方式，既可以直观地描述文化传播的过程，也暗示了这种传播的时间与空间特性。石子落点的中心，象征着中原文化的发源地，而涟漪向外扩散的过程，则代表了文化影响力逐层传递的模式。涟漪传播的力量并非均等，而是随着距离的增加逐渐减弱，涟漪波纹越远越弱，波峰越低，传播的速度也越慢。这一现象形象地说明了文化在从中心向边缘辐射时的递减效应，暗示了边缘文化的模糊性与文化节奏的差异性。</w:t>
      </w:r>
    </w:p>
    <w:p w14:paraId="73FF5356">
      <w:pPr>
        <w:bidi w:val="0"/>
        <w:ind w:firstLine="480" w:firstLineChars="200"/>
        <w:rPr>
          <w:rFonts w:hint="eastAsia"/>
        </w:rPr>
      </w:pPr>
      <w:r>
        <w:rPr>
          <w:rFonts w:hint="eastAsia"/>
        </w:rPr>
        <w:t>这一波纹式扩散在中国早期的政治文化中已有表现，五服制度</w:t>
      </w:r>
      <w:r>
        <w:rPr>
          <w:rFonts w:hint="eastAsia"/>
          <w:lang w:eastAsia="zh-CN"/>
        </w:rPr>
        <w:t>，</w:t>
      </w:r>
      <w:r>
        <w:rPr>
          <w:rFonts w:hint="eastAsia"/>
          <w:lang w:val="en-US" w:eastAsia="zh-CN"/>
        </w:rPr>
        <w:t>即古代</w:t>
      </w:r>
      <w:r>
        <w:rPr>
          <w:rFonts w:hint="eastAsia"/>
          <w:lang w:val="en-US" w:eastAsia="zh-CN"/>
        </w:rPr>
        <w:fldChar w:fldCharType="begin"/>
      </w:r>
      <w:r>
        <w:rPr>
          <w:rFonts w:hint="eastAsia"/>
          <w:lang w:val="en-US" w:eastAsia="zh-CN"/>
        </w:rPr>
        <w:instrText xml:space="preserve"> HYPERLINK "https://baike.baidu.com/item/%E7%BB%9F%E6%B2%BB%E9%98%B6%E7%BA%A7/7040038?fromModule=lemma_inlink" \t "https://baike.baidu.com/item/%E4%BA%94%E6%9C%8D/_blank" </w:instrText>
      </w:r>
      <w:r>
        <w:rPr>
          <w:rFonts w:hint="eastAsia"/>
          <w:lang w:val="en-US" w:eastAsia="zh-CN"/>
        </w:rPr>
        <w:fldChar w:fldCharType="separate"/>
      </w:r>
      <w:r>
        <w:rPr>
          <w:rFonts w:hint="eastAsia"/>
          <w:lang w:val="en-US" w:eastAsia="zh-CN"/>
        </w:rPr>
        <w:t>统治阶级</w:t>
      </w:r>
      <w:r>
        <w:rPr>
          <w:rFonts w:hint="eastAsia"/>
          <w:lang w:val="en-US" w:eastAsia="zh-CN"/>
        </w:rPr>
        <w:fldChar w:fldCharType="end"/>
      </w:r>
      <w:r>
        <w:rPr>
          <w:rFonts w:hint="eastAsia"/>
          <w:lang w:val="en-US" w:eastAsia="zh-CN"/>
        </w:rPr>
        <w:t>的五等服式，</w:t>
      </w:r>
      <w:r>
        <w:rPr>
          <w:rFonts w:hint="eastAsia"/>
        </w:rPr>
        <w:t>便是典型。</w:t>
      </w:r>
      <w:r>
        <w:rPr>
          <w:rFonts w:ascii="SimSun" w:hAnsi="SimSun" w:eastAsia="SimSun" w:cs="SimSun"/>
          <w:sz w:val="24"/>
          <w:szCs w:val="24"/>
        </w:rPr>
        <w:t>根据</w:t>
      </w:r>
      <w:r>
        <w:rPr>
          <w:rFonts w:hint="eastAsia"/>
          <w:lang w:eastAsia="zh-CN"/>
        </w:rPr>
        <w:t>《</w:t>
      </w:r>
      <w:r>
        <w:rPr>
          <w:rFonts w:hint="eastAsia"/>
        </w:rPr>
        <w:t>尚书·益稷》：“弼成五服，至于五千。”</w:t>
      </w:r>
      <w:r>
        <w:rPr>
          <w:rFonts w:hint="eastAsia"/>
          <w:vertAlign w:val="superscript"/>
          <w:lang w:eastAsia="zh-CN"/>
        </w:rPr>
        <w:fldChar w:fldCharType="begin"/>
      </w:r>
      <w:r>
        <w:rPr>
          <w:rFonts w:hint="eastAsia"/>
          <w:vertAlign w:val="superscript"/>
          <w:lang w:eastAsia="zh-CN"/>
        </w:rPr>
        <w:instrText xml:space="preserve"> REF _Ref6844 \r \h </w:instrText>
      </w:r>
      <w:r>
        <w:rPr>
          <w:rFonts w:hint="eastAsia"/>
          <w:vertAlign w:val="superscript"/>
          <w:lang w:eastAsia="zh-CN"/>
        </w:rPr>
        <w:fldChar w:fldCharType="separate"/>
      </w:r>
      <w:r>
        <w:rPr>
          <w:rFonts w:hint="eastAsia"/>
          <w:vertAlign w:val="superscript"/>
          <w:lang w:eastAsia="zh-CN"/>
        </w:rPr>
        <w:t>[6]</w:t>
      </w:r>
      <w:r>
        <w:rPr>
          <w:rFonts w:hint="eastAsia"/>
          <w:vertAlign w:val="superscript"/>
          <w:lang w:eastAsia="zh-CN"/>
        </w:rPr>
        <w:fldChar w:fldCharType="end"/>
      </w:r>
      <w:r>
        <w:rPr>
          <w:rFonts w:hint="eastAsia" w:ascii="SimSun" w:hAnsi="SimSun" w:cs="SimSun"/>
          <w:sz w:val="24"/>
          <w:szCs w:val="24"/>
          <w:lang w:val="en-US" w:eastAsia="zh-CN"/>
        </w:rPr>
        <w:t>所写，该</w:t>
      </w:r>
      <w:r>
        <w:rPr>
          <w:rFonts w:ascii="SimSun" w:hAnsi="SimSun" w:eastAsia="SimSun" w:cs="SimSun"/>
          <w:sz w:val="24"/>
          <w:szCs w:val="24"/>
        </w:rPr>
        <w:t>制度</w:t>
      </w:r>
      <w:r>
        <w:rPr>
          <w:rFonts w:hint="eastAsia" w:ascii="SimSun" w:hAnsi="SimSun" w:cs="SimSun"/>
          <w:sz w:val="24"/>
          <w:szCs w:val="24"/>
          <w:lang w:val="en-US" w:eastAsia="zh-CN"/>
        </w:rPr>
        <w:t>以</w:t>
      </w:r>
      <w:r>
        <w:rPr>
          <w:rFonts w:ascii="SimSun" w:hAnsi="SimSun" w:eastAsia="SimSun" w:cs="SimSun"/>
          <w:sz w:val="24"/>
          <w:szCs w:val="24"/>
        </w:rPr>
        <w:t>王畿为中心，周边区域按距离远近分为五个等级：甸服、侯服、宾服（或绥服）、要服、荒服。最靠近中心的甸服和侯服直接承担赋税、提供劳役，深受中原文化的影响；而宾服、要服、荒服则位于边缘地带，对中原文化的吸收较为缓慢，并保留了更多地方特色。</w:t>
      </w:r>
      <w:r>
        <w:rPr>
          <w:rFonts w:hint="eastAsia"/>
        </w:rPr>
        <w:t>五服制度展现了中心清晰、边缘模糊的“天下”观念，既是古代中国政治的实践形态，也奠定了文化传播的基本框架。吴飞（2014）</w:t>
      </w:r>
      <w:r>
        <w:rPr>
          <w:rFonts w:hint="eastAsia"/>
          <w:lang w:val="en-US" w:eastAsia="zh-CN"/>
        </w:rPr>
        <w:t>便</w:t>
      </w:r>
      <w:r>
        <w:rPr>
          <w:rFonts w:hint="eastAsia"/>
        </w:rPr>
        <w:t>指出，研究五服制度可以更加深刻地理解古人的“天下”观念，对于研究秦以后两千多年中原王朝与周边族群关系具有重要的意义。从某种意义上看，秦以后的东亚政治形态</w:t>
      </w:r>
      <w:r>
        <w:rPr>
          <w:rFonts w:hint="eastAsia"/>
          <w:lang w:val="en-US" w:eastAsia="zh-CN"/>
        </w:rPr>
        <w:t>便</w:t>
      </w:r>
      <w:r>
        <w:rPr>
          <w:rFonts w:hint="eastAsia"/>
        </w:rPr>
        <w:t>具有很强的五服形态扩大的特点。</w:t>
      </w:r>
      <w:r>
        <w:rPr>
          <w:rFonts w:hint="eastAsia"/>
          <w:vertAlign w:val="superscript"/>
          <w:lang w:eastAsia="zh-CN"/>
        </w:rPr>
        <w:fldChar w:fldCharType="begin"/>
      </w:r>
      <w:r>
        <w:rPr>
          <w:rFonts w:hint="eastAsia"/>
          <w:vertAlign w:val="superscript"/>
          <w:lang w:eastAsia="zh-CN"/>
        </w:rPr>
        <w:instrText xml:space="preserve"> REF _Ref6844 \r \h </w:instrText>
      </w:r>
      <w:r>
        <w:rPr>
          <w:rFonts w:hint="eastAsia"/>
          <w:vertAlign w:val="superscript"/>
          <w:lang w:eastAsia="zh-CN"/>
        </w:rPr>
        <w:fldChar w:fldCharType="separate"/>
      </w:r>
      <w:r>
        <w:rPr>
          <w:rFonts w:hint="eastAsia"/>
          <w:vertAlign w:val="superscript"/>
          <w:lang w:eastAsia="zh-CN"/>
        </w:rPr>
        <w:t>[7]</w:t>
      </w:r>
      <w:r>
        <w:rPr>
          <w:rFonts w:hint="eastAsia"/>
          <w:vertAlign w:val="superscript"/>
          <w:lang w:eastAsia="zh-CN"/>
        </w:rPr>
        <w:fldChar w:fldCharType="end"/>
      </w:r>
    </w:p>
    <w:p w14:paraId="7D0F3605">
      <w:pPr>
        <w:bidi w:val="0"/>
        <w:ind w:firstLine="480" w:firstLineChars="200"/>
        <w:rPr>
          <w:rFonts w:hint="eastAsia"/>
        </w:rPr>
      </w:pPr>
      <w:r>
        <w:rPr>
          <w:rFonts w:hint="eastAsia"/>
        </w:rPr>
        <w:t>在“天下体系”的文化框架下，中原王朝的政治与文化影响力通过五服的逻辑不断向外扩散，边疆地区在名义上接受王朝的册封和文化规范，但文化接受的深度和同化程度显著降低。这种“声教讫于蛮荒”的文化传播方式并非一蹴而就，而是一个循序渐进的过程，伴随着时间的推移和空间的扩大而逐层减弱，最终在边缘地带呈现出模糊的文化节奏。正如清代西南少数民族地区的文字传承实践所示，他们在书写中仍然使用明代甚至更早的文字形式，显示出边缘地区对中原文化的接受存在明显的滞后性和地方适应性。这种现象，正是文化传播逻辑在历史上的延续与表现。因此，涟漪比喻与五服制度的结合，揭示了</w:t>
      </w:r>
      <w:r>
        <w:rPr>
          <w:rFonts w:hint="eastAsia"/>
          <w:lang w:val="en-US" w:eastAsia="zh-CN"/>
        </w:rPr>
        <w:t>天下体系下</w:t>
      </w:r>
      <w:r>
        <w:rPr>
          <w:rFonts w:hint="eastAsia"/>
        </w:rPr>
        <w:t>中国文化传播模式中的“中心清晰、边缘模糊”的核心特征。文化节奏的差异正是在这种传播模式中得以显现：汉族地区因政治中心的推动力，展现出快速的文化节奏，如科举制度促进了文字规范化；而边缘少数民族地区则因地理隔绝与社会独立性，保留了相对缓慢的文化节奏，延续了大量传统形式。</w:t>
      </w:r>
    </w:p>
    <w:p w14:paraId="2C36B0C3">
      <w:pPr>
        <w:bidi w:val="0"/>
        <w:ind w:firstLine="480" w:firstLineChars="200"/>
        <w:rPr>
          <w:rFonts w:hint="eastAsia"/>
        </w:rPr>
      </w:pPr>
      <w:r>
        <w:rPr>
          <w:rFonts w:hint="eastAsia"/>
        </w:rPr>
        <w:t>更为深远的是，中华文明“内</w:t>
      </w:r>
      <w:r>
        <w:rPr>
          <w:rFonts w:hint="eastAsia"/>
          <w:lang w:val="en-US" w:eastAsia="zh-CN"/>
        </w:rPr>
        <w:t>含</w:t>
      </w:r>
      <w:r>
        <w:rPr>
          <w:rFonts w:hint="eastAsia"/>
        </w:rPr>
        <w:t>天下”的特性塑造了文化与政治的分离性。王朝的更迭并未中断文</w:t>
      </w:r>
      <w:r>
        <w:rPr>
          <w:rFonts w:hint="eastAsia"/>
          <w:lang w:val="en-US" w:eastAsia="zh-CN"/>
        </w:rPr>
        <w:t>化</w:t>
      </w:r>
      <w:r>
        <w:rPr>
          <w:rFonts w:hint="eastAsia"/>
        </w:rPr>
        <w:t>的传承，中国从未像许多国家因政权更替而导致文</w:t>
      </w:r>
      <w:r>
        <w:rPr>
          <w:rFonts w:hint="eastAsia"/>
          <w:lang w:val="en-US" w:eastAsia="zh-CN"/>
        </w:rPr>
        <w:t>明的</w:t>
      </w:r>
      <w:r>
        <w:rPr>
          <w:rFonts w:hint="eastAsia"/>
        </w:rPr>
        <w:t>断裂。这种顽强的连续性得益于“天下体系”对文明秩序的包容性设计：王朝可以更迭，民族可以变化，但</w:t>
      </w:r>
      <w:r>
        <w:rPr>
          <w:rFonts w:hint="eastAsia"/>
          <w:lang w:eastAsia="zh-CN"/>
        </w:rPr>
        <w:t>“</w:t>
      </w:r>
      <w:r>
        <w:rPr>
          <w:rFonts w:hint="eastAsia"/>
        </w:rPr>
        <w:t>文明意义上的中国</w:t>
      </w:r>
      <w:r>
        <w:rPr>
          <w:rFonts w:hint="eastAsia"/>
          <w:lang w:eastAsia="zh-CN"/>
        </w:rPr>
        <w:t>”始终作为延续的内核而存在</w:t>
      </w:r>
      <w:r>
        <w:rPr>
          <w:rFonts w:hint="eastAsia"/>
        </w:rPr>
        <w:t>。这一特性不仅保证了中心文化的主导地位，也为边缘文化提供了吸收与融合的空间。例如</w:t>
      </w:r>
      <w:r>
        <w:rPr>
          <w:rFonts w:hint="eastAsia"/>
          <w:lang w:eastAsia="zh-CN"/>
        </w:rPr>
        <w:t>，</w:t>
      </w:r>
      <w:r>
        <w:rPr>
          <w:rFonts w:hint="eastAsia"/>
        </w:rPr>
        <w:t>少数民族地区在清朝仍然沿用明代的异体字形式，也并未被视为反清复明的行为。这</w:t>
      </w:r>
      <w:r>
        <w:rPr>
          <w:rFonts w:hint="eastAsia"/>
          <w:lang w:val="en-US" w:eastAsia="zh-CN"/>
        </w:rPr>
        <w:t>一现象</w:t>
      </w:r>
      <w:r>
        <w:rPr>
          <w:rFonts w:hint="eastAsia"/>
        </w:rPr>
        <w:t>表明，清朝统治者在维护政治秩序的同时，刻意保留了汉文化的影响力</w:t>
      </w:r>
      <w:r>
        <w:rPr>
          <w:rFonts w:hint="eastAsia"/>
          <w:lang w:eastAsia="zh-CN"/>
        </w:rPr>
        <w:t>，</w:t>
      </w:r>
      <w:r>
        <w:rPr>
          <w:rFonts w:hint="eastAsia"/>
        </w:rPr>
        <w:t>从而强化了国家认同与文化整合的基础。</w:t>
      </w:r>
    </w:p>
    <w:p w14:paraId="01D0611B">
      <w:pPr>
        <w:bidi w:val="0"/>
        <w:ind w:firstLine="480" w:firstLineChars="200"/>
        <w:rPr>
          <w:rFonts w:hint="eastAsia"/>
          <w:lang w:eastAsia="zh-CN"/>
        </w:rPr>
      </w:pPr>
      <w:r>
        <w:rPr>
          <w:rFonts w:hint="eastAsia"/>
        </w:rPr>
        <w:t>由此可见，中国的“天下体系”不仅是一种超越时代的政治制度，更是一种具有广谱兼容性的文化秩序。这一体系通过中心与边缘的互动，在文化传播与适应中形成了节奏的张力，既塑造了中国文明的内在韧性，又形成了多元一体的格局。中心文化通过层层波纹影响边缘文化，而边缘文化以其独特的韧性与适应力，延续并丰富了中华文明的内涵。这种互动模式，不仅为理解中国文化提供了新的维度，也为研究文字传承中的节奏差异提供了重要的理论视角</w:t>
      </w:r>
      <w:r>
        <w:rPr>
          <w:rFonts w:hint="eastAsia"/>
          <w:lang w:eastAsia="zh-CN"/>
        </w:rPr>
        <w:t>。</w:t>
      </w:r>
    </w:p>
    <w:p w14:paraId="325EF806">
      <w:pPr>
        <w:pStyle w:val="2"/>
        <w:bidi w:val="0"/>
        <w:rPr>
          <w:rFonts w:hint="eastAsia"/>
          <w:lang w:eastAsia="zh-CN"/>
        </w:rPr>
      </w:pPr>
      <w:r>
        <w:rPr>
          <w:rFonts w:hint="eastAsia"/>
          <w:lang w:eastAsia="zh-CN"/>
        </w:rPr>
        <w:t>文化的涟漪：异体字在边缘与中心的流动</w:t>
      </w:r>
    </w:p>
    <w:p w14:paraId="120268EC">
      <w:pPr>
        <w:ind w:firstLine="480" w:firstLineChars="200"/>
        <w:rPr>
          <w:rFonts w:hint="eastAsia"/>
          <w:lang w:eastAsia="zh-CN"/>
        </w:rPr>
      </w:pPr>
      <w:r>
        <w:rPr>
          <w:rFonts w:hint="eastAsia"/>
          <w:lang w:eastAsia="zh-CN"/>
        </w:rPr>
        <w:t>在以“天下体系”为核心的中华文明中，文字不仅是文化传播的重要媒介，更是中心与边缘互动的象征性符号。异体字，作为在相同语音和意义条件下具有不同书写形式的汉字，承载了中心文化辐射与地方文化适应的动态历史。</w:t>
      </w:r>
      <w:r>
        <w:rPr>
          <w:rFonts w:hint="eastAsia"/>
          <w:lang w:val="en-US" w:eastAsia="zh-CN"/>
        </w:rPr>
        <w:t>在</w:t>
      </w:r>
      <w:r>
        <w:rPr>
          <w:rFonts w:hint="eastAsia"/>
          <w:lang w:eastAsia="zh-CN"/>
        </w:rPr>
        <w:t>清代汉族地区，在科举制度与行政需求的推动推动了文字规范化进程，异体字逐渐被淘汰或统一，形成了以《康熙字典》</w:t>
      </w:r>
      <w:r>
        <w:rPr>
          <w:rFonts w:hint="eastAsia"/>
          <w:vertAlign w:val="superscript"/>
          <w:lang w:eastAsia="zh-CN"/>
        </w:rPr>
        <w:fldChar w:fldCharType="begin"/>
      </w:r>
      <w:r>
        <w:rPr>
          <w:rFonts w:hint="eastAsia"/>
          <w:vertAlign w:val="superscript"/>
          <w:lang w:eastAsia="zh-CN"/>
        </w:rPr>
        <w:instrText xml:space="preserve"> REF _Ref562 \r \h </w:instrText>
      </w:r>
      <w:r>
        <w:rPr>
          <w:rFonts w:hint="eastAsia"/>
          <w:vertAlign w:val="superscript"/>
          <w:lang w:eastAsia="zh-CN"/>
        </w:rPr>
        <w:fldChar w:fldCharType="separate"/>
      </w:r>
      <w:r>
        <w:rPr>
          <w:rFonts w:hint="eastAsia"/>
          <w:vertAlign w:val="superscript"/>
          <w:lang w:eastAsia="zh-CN"/>
        </w:rPr>
        <w:t>[8]</w:t>
      </w:r>
      <w:r>
        <w:rPr>
          <w:rFonts w:hint="eastAsia"/>
          <w:vertAlign w:val="superscript"/>
          <w:lang w:eastAsia="zh-CN"/>
        </w:rPr>
        <w:fldChar w:fldCharType="end"/>
      </w:r>
      <w:r>
        <w:rPr>
          <w:rFonts w:hint="eastAsia"/>
          <w:lang w:eastAsia="zh-CN"/>
        </w:rPr>
        <w:t>为标志的标准书写体系。然而，壮族地区作为边缘文化的重要代表，其地理隔绝与文化</w:t>
      </w:r>
      <w:r>
        <w:rPr>
          <w:rFonts w:hint="eastAsia"/>
          <w:lang w:val="en-US" w:eastAsia="zh-CN"/>
        </w:rPr>
        <w:t>自主</w:t>
      </w:r>
      <w:r>
        <w:rPr>
          <w:rFonts w:hint="eastAsia"/>
          <w:lang w:eastAsia="zh-CN"/>
        </w:rPr>
        <w:t>性使异体字得以长期保留，并在地方社会中被赋予新的功能。通过壮族地区的宗教文本与民间书写，我们可以清晰地看到异体字如何从传统意义的延续，到地方语境中的化用，最终成为跨文化传播的重要纽带。</w:t>
      </w:r>
    </w:p>
    <w:p w14:paraId="4256B9A6">
      <w:pPr>
        <w:ind w:firstLine="480" w:firstLineChars="200"/>
        <w:rPr>
          <w:rFonts w:hint="eastAsia"/>
          <w:lang w:eastAsia="zh-CN"/>
        </w:rPr>
      </w:pPr>
      <w:r>
        <w:rPr>
          <w:rFonts w:hint="eastAsia"/>
          <w:lang w:eastAsia="zh-CN"/>
        </w:rPr>
        <w:t>首先，壮族地区</w:t>
      </w:r>
      <w:r>
        <w:rPr>
          <w:rFonts w:hint="eastAsia"/>
          <w:lang w:val="en-US" w:eastAsia="zh-CN"/>
        </w:rPr>
        <w:t>的</w:t>
      </w:r>
      <w:r>
        <w:rPr>
          <w:rFonts w:hint="eastAsia"/>
          <w:lang w:eastAsia="zh-CN"/>
        </w:rPr>
        <w:t>大量手抄本与宗教文献，保留了汉族地区已被淘汰的异体字，并继续以传统语义使用，展现了汉文化在边缘地区的韧性与延续性。其次，这些异体字在地方实践中被赋予新的地方化意义，不仅在书写形式上体现壮族</w:t>
      </w:r>
      <w:r>
        <w:rPr>
          <w:rFonts w:hint="eastAsia"/>
          <w:lang w:val="en-US" w:eastAsia="zh-CN"/>
        </w:rPr>
        <w:t>的</w:t>
      </w:r>
      <w:r>
        <w:rPr>
          <w:rFonts w:hint="eastAsia"/>
          <w:lang w:eastAsia="zh-CN"/>
        </w:rPr>
        <w:t>文化特色，更通过</w:t>
      </w:r>
      <w:r>
        <w:rPr>
          <w:rFonts w:hint="eastAsia"/>
          <w:lang w:val="en-US" w:eastAsia="zh-CN"/>
        </w:rPr>
        <w:t>语义</w:t>
      </w:r>
      <w:r>
        <w:rPr>
          <w:rFonts w:hint="eastAsia"/>
          <w:lang w:eastAsia="zh-CN"/>
        </w:rPr>
        <w:t>的融合</w:t>
      </w:r>
      <w:r>
        <w:rPr>
          <w:rFonts w:hint="eastAsia"/>
          <w:lang w:val="en-US" w:eastAsia="zh-CN"/>
        </w:rPr>
        <w:t>扩展了方块壮字的组成</w:t>
      </w:r>
      <w:r>
        <w:rPr>
          <w:rFonts w:hint="eastAsia"/>
          <w:lang w:eastAsia="zh-CN"/>
        </w:rPr>
        <w:t>，成为民族文化表达的重要工具。最后，壮族作为中原文化与东南亚文化圈的交汇地带，其异体字实践超越地方性，通过传播至越南喃字体系等文化圈，赋予这些文字跨文化的新功能，成为壮族地区文化传播的象征。这一从延续到化用，再到扩展的三重路径，充分展现了壮族地区在文字传播中的主动性与创造力。</w:t>
      </w:r>
      <w:r>
        <w:rPr>
          <w:rFonts w:hint="eastAsia"/>
          <w:lang w:val="en-US" w:eastAsia="zh-CN"/>
        </w:rPr>
        <w:t>更</w:t>
      </w:r>
      <w:r>
        <w:rPr>
          <w:rFonts w:hint="eastAsia"/>
          <w:lang w:eastAsia="zh-CN"/>
        </w:rPr>
        <w:t>表明，壮族地区在文字传播中不仅是</w:t>
      </w:r>
      <w:r>
        <w:rPr>
          <w:rFonts w:hint="eastAsia"/>
          <w:lang w:val="en-US" w:eastAsia="zh-CN"/>
        </w:rPr>
        <w:t>中原汉</w:t>
      </w:r>
      <w:r>
        <w:rPr>
          <w:rFonts w:hint="eastAsia"/>
          <w:lang w:eastAsia="zh-CN"/>
        </w:rPr>
        <w:t>文化的接收者，也是文化意义的再创造者与传播者。</w:t>
      </w:r>
    </w:p>
    <w:p w14:paraId="10F59FDF">
      <w:pPr>
        <w:ind w:firstLine="480" w:firstLineChars="200"/>
        <w:rPr>
          <w:rFonts w:hint="eastAsia"/>
          <w:lang w:eastAsia="zh-CN"/>
        </w:rPr>
      </w:pPr>
      <w:r>
        <w:rPr>
          <w:rFonts w:hint="eastAsia"/>
          <w:lang w:eastAsia="zh-CN"/>
        </w:rPr>
        <w:t>壮族地区的异体字传承与跨文化传播是“天下体系”文化节奏的缩影，</w:t>
      </w:r>
      <w:r>
        <w:rPr>
          <w:rFonts w:hint="eastAsia"/>
          <w:lang w:val="en-US" w:eastAsia="zh-CN"/>
        </w:rPr>
        <w:t>是</w:t>
      </w:r>
      <w:r>
        <w:rPr>
          <w:rFonts w:hint="eastAsia"/>
          <w:lang w:eastAsia="zh-CN"/>
        </w:rPr>
        <w:t>中心与边缘的差异性与动态张力：中心地区在权力体系推动下以规范化为目标，文字变迁迅速；边缘地区则以缓慢的节奏保存传统并注入地方化特质，延续了更多元的文化记忆。以文字为媒介，异体字为理解中华文明的文化包容性与动态演变提供了一个切入点，既丰富了中华文明的多元一体格局，也使壮族地区成为跨文化传播的桥梁，揭示了文字传承中包容与共生的深远意义。</w:t>
      </w:r>
    </w:p>
    <w:p w14:paraId="5E8226C2">
      <w:pPr>
        <w:ind w:firstLine="480" w:firstLineChars="200"/>
        <w:rPr>
          <w:rFonts w:hint="eastAsia"/>
          <w:lang w:eastAsia="zh-CN"/>
        </w:rPr>
      </w:pPr>
      <w:r>
        <w:rPr>
          <w:rFonts w:hint="eastAsia"/>
          <w:lang w:eastAsia="zh-CN"/>
        </w:rPr>
        <w:t>以下通过对壮族地区异体字在三个阶段的具体表现——写法与意义的保留、地方化的文化化用，以及跨文化传播与扩展——进行详细分析，展现这一传承路径对理解中华文明多样性与文化交流的重要价值。</w:t>
      </w:r>
    </w:p>
    <w:p w14:paraId="127E0880">
      <w:pPr>
        <w:pStyle w:val="3"/>
        <w:bidi w:val="0"/>
        <w:rPr>
          <w:rFonts w:hint="eastAsia"/>
          <w:lang w:eastAsia="zh-CN"/>
        </w:rPr>
      </w:pPr>
      <w:r>
        <w:rPr>
          <w:rFonts w:hint="eastAsia"/>
          <w:lang w:val="en-US" w:eastAsia="zh-CN"/>
        </w:rPr>
        <w:t>汉字异体字的写法与意义保留</w:t>
      </w:r>
    </w:p>
    <w:p w14:paraId="7694BE82">
      <w:pPr>
        <w:rPr>
          <w:rFonts w:hint="eastAsia" w:eastAsia="SimSun"/>
          <w:lang w:val="en-US" w:eastAsia="zh-CN"/>
        </w:rPr>
      </w:pPr>
      <w:r>
        <w:rPr>
          <w:rFonts w:hint="eastAsia"/>
          <w:lang w:val="en-US" w:eastAsia="zh-CN"/>
        </w:rPr>
        <w:t>例子一：</w:t>
      </w:r>
      <w:r>
        <w:drawing>
          <wp:inline distT="0" distB="0" distL="114300" distR="114300">
            <wp:extent cx="162560" cy="160655"/>
            <wp:effectExtent l="0" t="0" r="254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
                    <a:stretch>
                      <a:fillRect/>
                    </a:stretch>
                  </pic:blipFill>
                  <pic:spPr>
                    <a:xfrm>
                      <a:off x="0" y="0"/>
                      <a:ext cx="162560" cy="160655"/>
                    </a:xfrm>
                    <a:prstGeom prst="rect">
                      <a:avLst/>
                    </a:prstGeom>
                    <a:noFill/>
                    <a:ln>
                      <a:noFill/>
                    </a:ln>
                  </pic:spPr>
                </pic:pic>
              </a:graphicData>
            </a:graphic>
          </wp:inline>
        </w:drawing>
      </w:r>
      <w:r>
        <w:rPr>
          <w:rFonts w:hint="eastAsia"/>
          <w:lang w:val="en-US" w:eastAsia="zh-CN"/>
        </w:rPr>
        <w:t>与靈</w:t>
      </w:r>
    </w:p>
    <w:p w14:paraId="21EE2105">
      <w:pPr>
        <w:spacing w:line="360" w:lineRule="auto"/>
        <w:ind w:firstLine="480" w:firstLineChars="200"/>
        <w:rPr>
          <w:rFonts w:hint="eastAsia"/>
          <w:lang w:eastAsia="zh-CN"/>
        </w:rPr>
      </w:pPr>
      <w:r>
        <w:rPr>
          <w:rFonts w:hint="eastAsia"/>
          <w:lang w:eastAsia="zh-CN"/>
        </w:rPr>
        <w:t>在广西壮族</w:t>
      </w:r>
      <w:r>
        <w:rPr>
          <w:rFonts w:hint="eastAsia"/>
          <w:lang w:val="en-US" w:eastAsia="zh-CN"/>
        </w:rPr>
        <w:t>的</w:t>
      </w:r>
      <w:r>
        <w:rPr>
          <w:rFonts w:ascii="SimSun" w:hAnsi="SimSun" w:eastAsia="SimSun" w:cs="SimSun"/>
          <w:sz w:val="24"/>
          <w:szCs w:val="24"/>
        </w:rPr>
        <w:t>清道光时期</w:t>
      </w:r>
      <w:r>
        <w:rPr>
          <w:rFonts w:hint="eastAsia"/>
          <w:lang w:eastAsia="zh-CN"/>
        </w:rPr>
        <w:t>的</w:t>
      </w:r>
      <w:r>
        <w:rPr>
          <w:rFonts w:hint="eastAsia"/>
          <w:lang w:val="en-US" w:eastAsia="zh-CN"/>
        </w:rPr>
        <w:t>手抄本</w:t>
      </w:r>
      <w:r>
        <w:rPr>
          <w:rFonts w:ascii="SimSun" w:hAnsi="SimSun" w:eastAsia="SimSun" w:cs="SimSun"/>
          <w:sz w:val="24"/>
          <w:szCs w:val="24"/>
        </w:rPr>
        <w:t>《送圣母小儿书》</w:t>
      </w:r>
      <w:r>
        <w:rPr>
          <w:rFonts w:hint="eastAsia" w:ascii="SimSun" w:hAnsi="SimSun" w:cs="SimSun"/>
          <w:sz w:val="24"/>
          <w:szCs w:val="24"/>
          <w:lang w:eastAsia="zh-CN"/>
        </w:rPr>
        <w:t>（</w:t>
      </w:r>
      <w:r>
        <w:rPr>
          <w:rFonts w:hint="eastAsia" w:ascii="SimSun" w:hAnsi="SimSun" w:cs="SimSun"/>
          <w:sz w:val="24"/>
          <w:szCs w:val="24"/>
          <w:lang w:val="en-US" w:eastAsia="zh-CN"/>
        </w:rPr>
        <w:t>民间藏</w:t>
      </w:r>
      <w:r>
        <w:rPr>
          <w:rFonts w:hint="eastAsia" w:ascii="SimSun" w:hAnsi="SimSun" w:cs="SimSun"/>
          <w:sz w:val="24"/>
          <w:szCs w:val="24"/>
          <w:lang w:eastAsia="zh-CN"/>
        </w:rPr>
        <w:t>）</w:t>
      </w:r>
      <w:r>
        <w:rPr>
          <w:rFonts w:hint="default" w:cs="SimSun" w:asciiTheme="minorAscii" w:hAnsiTheme="minorAscii"/>
          <w:sz w:val="24"/>
          <w:szCs w:val="24"/>
          <w:vertAlign w:val="superscript"/>
          <w:lang w:val="en-US" w:eastAsia="zh-CN"/>
        </w:rPr>
        <w:fldChar w:fldCharType="begin"/>
      </w:r>
      <w:r>
        <w:rPr>
          <w:rFonts w:hint="default" w:cs="SimSun" w:asciiTheme="minorAscii" w:hAnsiTheme="minorAscii"/>
          <w:sz w:val="24"/>
          <w:szCs w:val="24"/>
          <w:vertAlign w:val="superscript"/>
          <w:lang w:val="en-US" w:eastAsia="zh-CN"/>
        </w:rPr>
        <w:instrText xml:space="preserve"> REF _Ref7651 \r \h </w:instrText>
      </w:r>
      <w:r>
        <w:rPr>
          <w:rFonts w:hint="default" w:cs="SimSun" w:asciiTheme="minorAscii" w:hAnsiTheme="minorAscii"/>
          <w:sz w:val="24"/>
          <w:szCs w:val="24"/>
          <w:vertAlign w:val="superscript"/>
          <w:lang w:val="en-US" w:eastAsia="zh-CN"/>
        </w:rPr>
        <w:fldChar w:fldCharType="separate"/>
      </w:r>
      <w:r>
        <w:rPr>
          <w:rFonts w:hint="default" w:cs="SimSun" w:asciiTheme="minorAscii" w:hAnsiTheme="minorAscii"/>
          <w:sz w:val="24"/>
          <w:szCs w:val="24"/>
          <w:vertAlign w:val="superscript"/>
          <w:lang w:val="en-US" w:eastAsia="zh-CN"/>
        </w:rPr>
        <w:t>[9]</w:t>
      </w:r>
      <w:r>
        <w:rPr>
          <w:rFonts w:hint="default" w:cs="SimSun" w:asciiTheme="minorAscii" w:hAnsiTheme="minorAscii"/>
          <w:sz w:val="24"/>
          <w:szCs w:val="24"/>
          <w:vertAlign w:val="superscript"/>
          <w:lang w:val="en-US" w:eastAsia="zh-CN"/>
        </w:rPr>
        <w:fldChar w:fldCharType="end"/>
      </w:r>
      <w:r>
        <w:rPr>
          <w:rFonts w:hint="eastAsia" w:ascii="SimSun" w:hAnsi="SimSun" w:cs="SimSun"/>
          <w:sz w:val="24"/>
          <w:szCs w:val="24"/>
          <w:lang w:val="en-US" w:eastAsia="zh-CN"/>
        </w:rPr>
        <w:t>广西壮族</w:t>
      </w:r>
      <w:r>
        <w:rPr>
          <w:rFonts w:hint="eastAsia"/>
          <w:lang w:val="en-US" w:eastAsia="zh-CN"/>
        </w:rPr>
        <w:t>清晚期的《灵宝升度秘法大全》（民间藏）</w:t>
      </w:r>
      <w:r>
        <w:rPr>
          <w:rFonts w:hint="eastAsia"/>
          <w:vertAlign w:val="superscript"/>
          <w:lang w:val="en-US" w:eastAsia="zh-CN"/>
        </w:rPr>
        <w:fldChar w:fldCharType="begin"/>
      </w:r>
      <w:r>
        <w:rPr>
          <w:rFonts w:hint="eastAsia"/>
          <w:vertAlign w:val="superscript"/>
          <w:lang w:val="en-US" w:eastAsia="zh-CN"/>
        </w:rPr>
        <w:instrText xml:space="preserve"> REF _Ref7681 \r \h </w:instrText>
      </w:r>
      <w:r>
        <w:rPr>
          <w:rFonts w:hint="eastAsia"/>
          <w:vertAlign w:val="superscript"/>
          <w:lang w:val="en-US" w:eastAsia="zh-CN"/>
        </w:rPr>
        <w:fldChar w:fldCharType="separate"/>
      </w:r>
      <w:r>
        <w:rPr>
          <w:rFonts w:hint="eastAsia"/>
          <w:vertAlign w:val="superscript"/>
          <w:lang w:val="en-US" w:eastAsia="zh-CN"/>
        </w:rPr>
        <w:t>[10]</w:t>
      </w:r>
      <w:r>
        <w:rPr>
          <w:rFonts w:hint="eastAsia"/>
          <w:vertAlign w:val="superscript"/>
          <w:lang w:val="en-US" w:eastAsia="zh-CN"/>
        </w:rPr>
        <w:fldChar w:fldCharType="end"/>
      </w:r>
      <w:r>
        <w:rPr>
          <w:rFonts w:hint="eastAsia"/>
          <w:lang w:eastAsia="zh-CN"/>
        </w:rPr>
        <w:t>异体字“</w:t>
      </w:r>
      <w:r>
        <w:drawing>
          <wp:inline distT="0" distB="0" distL="114300" distR="114300">
            <wp:extent cx="162560" cy="16065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62560" cy="160655"/>
                    </a:xfrm>
                    <a:prstGeom prst="rect">
                      <a:avLst/>
                    </a:prstGeom>
                    <a:noFill/>
                    <a:ln>
                      <a:noFill/>
                    </a:ln>
                  </pic:spPr>
                </pic:pic>
              </a:graphicData>
            </a:graphic>
          </wp:inline>
        </w:drawing>
      </w:r>
      <w:r>
        <w:rPr>
          <w:rFonts w:hint="eastAsia"/>
          <w:lang w:eastAsia="zh-CN"/>
        </w:rPr>
        <w:t>”（靈）被广泛使用，常用于表达宗教灵性与神秘意涵，如道教中的“五灵君”与佛教的“生灵普渡”，保留了汉族地区对该字的传统使用意义。然而，与少数民族地区对“</w:t>
      </w:r>
      <w:r>
        <w:drawing>
          <wp:inline distT="0" distB="0" distL="114300" distR="114300">
            <wp:extent cx="162560" cy="16065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162560" cy="160655"/>
                    </a:xfrm>
                    <a:prstGeom prst="rect">
                      <a:avLst/>
                    </a:prstGeom>
                    <a:noFill/>
                    <a:ln>
                      <a:noFill/>
                    </a:ln>
                  </pic:spPr>
                </pic:pic>
              </a:graphicData>
            </a:graphic>
          </wp:inline>
        </w:drawing>
      </w:r>
      <w:r>
        <w:rPr>
          <w:rFonts w:hint="eastAsia"/>
          <w:lang w:eastAsia="zh-CN"/>
        </w:rPr>
        <w:t>”的延续形成鲜明对比的是，汉族地区在文字规范化的过程中逐步淘汰了这一异体形式，最终确立了“靈”为正</w:t>
      </w:r>
      <w:r>
        <w:rPr>
          <w:rFonts w:hint="eastAsia"/>
          <w:lang w:val="en-US" w:eastAsia="zh-CN"/>
        </w:rPr>
        <w:t>字</w:t>
      </w:r>
      <w:r>
        <w:rPr>
          <w:rFonts w:hint="eastAsia"/>
          <w:lang w:eastAsia="zh-CN"/>
        </w:rPr>
        <w:t>。</w:t>
      </w:r>
    </w:p>
    <w:p w14:paraId="2789089B">
      <w:pPr>
        <w:spacing w:line="360" w:lineRule="auto"/>
        <w:ind w:firstLine="480" w:firstLineChars="200"/>
        <w:rPr>
          <w:rFonts w:hint="eastAsia"/>
          <w:lang w:val="en-US" w:eastAsia="zh-CN"/>
        </w:rPr>
      </w:pPr>
      <w:r>
        <w:rPr>
          <w:rFonts w:hint="eastAsia"/>
          <w:lang w:val="en-US" w:eastAsia="zh-CN"/>
        </w:rPr>
        <w:t>明嘉靖时期字体从赵体向仿宋欧体过渡，字体方正规范化的趋势逐渐显现，且刊刻书籍数量显著增加，如明</w:t>
      </w:r>
      <w:r>
        <w:rPr>
          <w:rFonts w:hint="eastAsia"/>
          <w:lang w:eastAsia="zh-CN"/>
        </w:rPr>
        <w:t>朝</w:t>
      </w:r>
      <w:r>
        <w:rPr>
          <w:rFonts w:hint="eastAsia"/>
          <w:lang w:val="en-US" w:eastAsia="zh-CN"/>
        </w:rPr>
        <w:t>嘉陵年间金陵富春堂（嘉靖、万历年间金陵著名的唐氏书坊中规模最大、出版书籍最多的书坊）刊行</w:t>
      </w:r>
      <w:r>
        <w:rPr>
          <w:rFonts w:hint="eastAsia"/>
          <w:lang w:eastAsia="zh-CN"/>
        </w:rPr>
        <w:t>的《</w:t>
      </w:r>
      <w:r>
        <w:rPr>
          <w:rFonts w:hint="eastAsia"/>
          <w:lang w:val="en-US" w:eastAsia="zh-CN"/>
        </w:rPr>
        <w:t>岳飞破虏东窗记》</w:t>
      </w:r>
      <w:r>
        <w:rPr>
          <w:rFonts w:hint="eastAsia"/>
          <w:vertAlign w:val="superscript"/>
          <w:lang w:val="en-US" w:eastAsia="zh-CN"/>
        </w:rPr>
        <w:fldChar w:fldCharType="begin"/>
      </w:r>
      <w:r>
        <w:rPr>
          <w:rFonts w:hint="eastAsia"/>
          <w:vertAlign w:val="superscript"/>
          <w:lang w:val="en-US" w:eastAsia="zh-CN"/>
        </w:rPr>
        <w:instrText xml:space="preserve"> REF _Ref4582 \r \h </w:instrText>
      </w:r>
      <w:r>
        <w:rPr>
          <w:rFonts w:hint="eastAsia"/>
          <w:vertAlign w:val="superscript"/>
          <w:lang w:val="en-US" w:eastAsia="zh-CN"/>
        </w:rPr>
        <w:fldChar w:fldCharType="separate"/>
      </w:r>
      <w:r>
        <w:rPr>
          <w:rFonts w:hint="eastAsia"/>
          <w:vertAlign w:val="superscript"/>
          <w:lang w:val="en-US" w:eastAsia="zh-CN"/>
        </w:rPr>
        <w:t>[11]</w:t>
      </w:r>
      <w:r>
        <w:rPr>
          <w:rFonts w:hint="eastAsia"/>
          <w:vertAlign w:val="superscript"/>
          <w:lang w:val="en-US" w:eastAsia="zh-CN"/>
        </w:rPr>
        <w:fldChar w:fldCharType="end"/>
      </w:r>
      <w:r>
        <w:rPr>
          <w:rFonts w:hint="eastAsia"/>
          <w:lang w:val="en-US" w:eastAsia="zh-CN"/>
        </w:rPr>
        <w:t>、《薛仁贵跨海征东白袍记》</w:t>
      </w:r>
      <w:r>
        <w:rPr>
          <w:rFonts w:hint="eastAsia"/>
          <w:vertAlign w:val="superscript"/>
          <w:lang w:val="en-US" w:eastAsia="zh-CN"/>
        </w:rPr>
        <w:fldChar w:fldCharType="begin"/>
      </w:r>
      <w:r>
        <w:rPr>
          <w:rFonts w:hint="eastAsia"/>
          <w:vertAlign w:val="superscript"/>
          <w:lang w:val="en-US" w:eastAsia="zh-CN"/>
        </w:rPr>
        <w:instrText xml:space="preserve"> REF _Ref4627 \r \h </w:instrText>
      </w:r>
      <w:r>
        <w:rPr>
          <w:rFonts w:hint="eastAsia"/>
          <w:vertAlign w:val="superscript"/>
          <w:lang w:val="en-US" w:eastAsia="zh-CN"/>
        </w:rPr>
        <w:fldChar w:fldCharType="separate"/>
      </w:r>
      <w:r>
        <w:rPr>
          <w:rFonts w:hint="eastAsia"/>
          <w:vertAlign w:val="superscript"/>
          <w:lang w:val="en-US" w:eastAsia="zh-CN"/>
        </w:rPr>
        <w:t>[12]</w:t>
      </w:r>
      <w:r>
        <w:rPr>
          <w:rFonts w:hint="eastAsia"/>
          <w:vertAlign w:val="superscript"/>
          <w:lang w:val="en-US" w:eastAsia="zh-CN"/>
        </w:rPr>
        <w:fldChar w:fldCharType="end"/>
      </w:r>
      <w:r>
        <w:rPr>
          <w:rFonts w:hint="eastAsia"/>
          <w:lang w:val="en-US" w:eastAsia="zh-CN"/>
        </w:rPr>
        <w:t>等文献中这一异体字形式被大量采用，进而或通过民间抄本传入边缘地区。再到明万历年间，焦竑撰《俗书刊误》明确指出“靈”为正字，并表示</w:t>
      </w:r>
      <w:r>
        <w:drawing>
          <wp:inline distT="0" distB="0" distL="114300" distR="114300">
            <wp:extent cx="162560" cy="160655"/>
            <wp:effectExtent l="0" t="0" r="254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162560" cy="160655"/>
                    </a:xfrm>
                    <a:prstGeom prst="rect">
                      <a:avLst/>
                    </a:prstGeom>
                    <a:noFill/>
                    <a:ln>
                      <a:noFill/>
                    </a:ln>
                  </pic:spPr>
                </pic:pic>
              </a:graphicData>
            </a:graphic>
          </wp:inline>
        </w:drawing>
      </w:r>
      <w:r>
        <w:rPr>
          <w:rFonts w:hint="eastAsia"/>
          <w:lang w:val="en-US" w:eastAsia="zh-CN"/>
        </w:rPr>
        <w:t>此写法为常用俗字写法，这标志着汉族地区文字标准化进入精细化阶段。</w:t>
      </w:r>
    </w:p>
    <w:p w14:paraId="587B41DE">
      <w:pPr>
        <w:spacing w:line="360" w:lineRule="auto"/>
        <w:ind w:firstLine="480" w:firstLineChars="200"/>
        <w:rPr>
          <w:rFonts w:hint="eastAsia"/>
          <w:lang w:eastAsia="zh-CN"/>
        </w:rPr>
      </w:pPr>
      <w:r>
        <w:rPr>
          <w:rFonts w:hint="eastAsia"/>
          <w:lang w:val="en-US" w:eastAsia="zh-CN"/>
        </w:rPr>
        <w:t>至清代，《康熙字典》</w:t>
      </w:r>
      <w:r>
        <w:rPr>
          <w:rFonts w:hint="eastAsia"/>
          <w:vertAlign w:val="superscript"/>
          <w:lang w:val="en-US" w:eastAsia="zh-CN"/>
        </w:rPr>
        <w:fldChar w:fldCharType="begin"/>
      </w:r>
      <w:r>
        <w:rPr>
          <w:rFonts w:hint="eastAsia"/>
          <w:vertAlign w:val="superscript"/>
          <w:lang w:val="en-US" w:eastAsia="zh-CN"/>
        </w:rPr>
        <w:instrText xml:space="preserve"> REF _Ref562 \r \h </w:instrText>
      </w:r>
      <w:r>
        <w:rPr>
          <w:rFonts w:hint="eastAsia"/>
          <w:vertAlign w:val="superscript"/>
          <w:lang w:val="en-US" w:eastAsia="zh-CN"/>
        </w:rPr>
        <w:fldChar w:fldCharType="separate"/>
      </w:r>
      <w:r>
        <w:rPr>
          <w:rFonts w:hint="eastAsia"/>
          <w:vertAlign w:val="superscript"/>
          <w:lang w:val="en-US" w:eastAsia="zh-CN"/>
        </w:rPr>
        <w:t>[8]</w:t>
      </w:r>
      <w:r>
        <w:rPr>
          <w:rFonts w:hint="eastAsia"/>
          <w:vertAlign w:val="superscript"/>
          <w:lang w:val="en-US" w:eastAsia="zh-CN"/>
        </w:rPr>
        <w:fldChar w:fldCharType="end"/>
      </w:r>
      <w:r>
        <w:rPr>
          <w:rFonts w:hint="eastAsia"/>
          <w:lang w:val="en-US" w:eastAsia="zh-CN"/>
        </w:rPr>
        <w:t>进一步确立了“靈”的正字地位，并广泛应用于官刻本与宗教典籍中，</w:t>
      </w:r>
      <w:r>
        <w:rPr>
          <w:rFonts w:hint="eastAsia"/>
          <w:lang w:eastAsia="zh-CN"/>
        </w:rPr>
        <w:t>例如</w:t>
      </w:r>
      <w:r>
        <w:rPr>
          <w:rFonts w:hint="eastAsia"/>
          <w:lang w:val="en-US" w:eastAsia="zh-CN"/>
        </w:rPr>
        <w:t>清光绪至宣统</w:t>
      </w:r>
      <w:r>
        <w:rPr>
          <w:rFonts w:hint="eastAsia"/>
          <w:lang w:eastAsia="zh-CN"/>
        </w:rPr>
        <w:t>《</w:t>
      </w:r>
      <w:r>
        <w:rPr>
          <w:rFonts w:hint="eastAsia"/>
          <w:lang w:val="en-US" w:eastAsia="zh-CN"/>
        </w:rPr>
        <w:t>玉牒初草卷一</w:t>
      </w:r>
      <w:r>
        <w:rPr>
          <w:rFonts w:hint="eastAsia"/>
          <w:lang w:eastAsia="zh-CN"/>
        </w:rPr>
        <w:t>》（</w:t>
      </w:r>
      <w:r>
        <w:rPr>
          <w:rFonts w:hint="eastAsia"/>
          <w:lang w:val="en-US" w:eastAsia="zh-CN"/>
        </w:rPr>
        <w:t>天津市市立图书馆藏</w:t>
      </w:r>
      <w:r>
        <w:rPr>
          <w:rFonts w:hint="eastAsia"/>
          <w:lang w:eastAsia="zh-CN"/>
        </w:rPr>
        <w:t>）</w:t>
      </w:r>
      <w:r>
        <w:rPr>
          <w:rFonts w:hint="eastAsia"/>
          <w:vertAlign w:val="superscript"/>
          <w:lang w:eastAsia="zh-CN"/>
        </w:rPr>
        <w:fldChar w:fldCharType="begin"/>
      </w:r>
      <w:r>
        <w:rPr>
          <w:rFonts w:hint="eastAsia"/>
          <w:vertAlign w:val="superscript"/>
          <w:lang w:eastAsia="zh-CN"/>
        </w:rPr>
        <w:instrText xml:space="preserve"> REF _Ref6179 \r \h </w:instrText>
      </w:r>
      <w:r>
        <w:rPr>
          <w:rFonts w:hint="eastAsia"/>
          <w:vertAlign w:val="superscript"/>
          <w:lang w:eastAsia="zh-CN"/>
        </w:rPr>
        <w:fldChar w:fldCharType="separate"/>
      </w:r>
      <w:r>
        <w:rPr>
          <w:rFonts w:hint="eastAsia"/>
          <w:vertAlign w:val="superscript"/>
          <w:lang w:eastAsia="zh-CN"/>
        </w:rPr>
        <w:t>[13]</w:t>
      </w:r>
      <w:r>
        <w:rPr>
          <w:rFonts w:hint="eastAsia"/>
          <w:vertAlign w:val="superscript"/>
          <w:lang w:eastAsia="zh-CN"/>
        </w:rPr>
        <w:fldChar w:fldCharType="end"/>
      </w:r>
      <w:r>
        <w:rPr>
          <w:rFonts w:hint="eastAsia"/>
          <w:lang w:eastAsia="zh-CN"/>
        </w:rPr>
        <w:t>、</w:t>
      </w:r>
      <w:r>
        <w:rPr>
          <w:rFonts w:hint="eastAsia"/>
          <w:lang w:val="en-US" w:eastAsia="zh-CN"/>
        </w:rPr>
        <w:t>与清光绪十六年金陵刻经处《佛说四十二章经注》（首都图书馆藏）</w:t>
      </w:r>
      <w:r>
        <w:rPr>
          <w:rFonts w:hint="eastAsia"/>
          <w:vertAlign w:val="superscript"/>
          <w:lang w:val="en-US" w:eastAsia="zh-CN"/>
        </w:rPr>
        <w:fldChar w:fldCharType="begin"/>
      </w:r>
      <w:r>
        <w:rPr>
          <w:rFonts w:hint="eastAsia"/>
          <w:vertAlign w:val="superscript"/>
          <w:lang w:val="en-US" w:eastAsia="zh-CN"/>
        </w:rPr>
        <w:instrText xml:space="preserve"> REF _Ref6201 \r \h </w:instrText>
      </w:r>
      <w:r>
        <w:rPr>
          <w:rFonts w:hint="eastAsia"/>
          <w:vertAlign w:val="superscript"/>
          <w:lang w:val="en-US" w:eastAsia="zh-CN"/>
        </w:rPr>
        <w:fldChar w:fldCharType="separate"/>
      </w:r>
      <w:r>
        <w:rPr>
          <w:rFonts w:hint="eastAsia"/>
          <w:vertAlign w:val="superscript"/>
          <w:lang w:val="en-US" w:eastAsia="zh-CN"/>
        </w:rPr>
        <w:t>[14]</w:t>
      </w:r>
      <w:r>
        <w:rPr>
          <w:rFonts w:hint="eastAsia"/>
          <w:vertAlign w:val="superscript"/>
          <w:lang w:val="en-US" w:eastAsia="zh-CN"/>
        </w:rPr>
        <w:fldChar w:fldCharType="end"/>
      </w:r>
      <w:r>
        <w:rPr>
          <w:rFonts w:hint="eastAsia"/>
          <w:lang w:val="en-US" w:eastAsia="zh-CN"/>
        </w:rPr>
        <w:t>等刻本均使用“</w:t>
      </w:r>
      <w:r>
        <w:rPr>
          <w:rFonts w:hint="eastAsia"/>
          <w:lang w:eastAsia="zh-CN"/>
        </w:rPr>
        <w:t>靈”。这种标准化的过程反映了汉族地区在科举制度和中央集权推动下，文字形态趋于统一、</w:t>
      </w:r>
      <w:r>
        <w:rPr>
          <w:rFonts w:hint="eastAsia"/>
          <w:lang w:val="en-US" w:eastAsia="zh-CN"/>
        </w:rPr>
        <w:t>规范</w:t>
      </w:r>
      <w:r>
        <w:rPr>
          <w:rFonts w:hint="eastAsia"/>
          <w:lang w:eastAsia="zh-CN"/>
        </w:rPr>
        <w:t>的</w:t>
      </w:r>
      <w:r>
        <w:rPr>
          <w:rFonts w:hint="eastAsia"/>
          <w:lang w:val="en-US" w:eastAsia="zh-CN"/>
        </w:rPr>
        <w:t>快速文化节奏</w:t>
      </w:r>
      <w:r>
        <w:rPr>
          <w:rFonts w:hint="eastAsia"/>
          <w:lang w:eastAsia="zh-CN"/>
        </w:rPr>
        <w:t>。</w:t>
      </w:r>
    </w:p>
    <w:p w14:paraId="7898724C">
      <w:pPr>
        <w:spacing w:line="360" w:lineRule="auto"/>
        <w:ind w:firstLine="480" w:firstLineChars="200"/>
        <w:rPr>
          <w:rFonts w:hint="eastAsia"/>
          <w:lang w:eastAsia="zh-CN"/>
        </w:rPr>
      </w:pPr>
    </w:p>
    <w:p w14:paraId="5E72602A">
      <w:pPr>
        <w:spacing w:line="360" w:lineRule="auto"/>
        <w:ind w:firstLine="480" w:firstLineChars="200"/>
        <w:rPr>
          <w:rFonts w:hint="eastAsia"/>
          <w:lang w:val="en-US" w:eastAsia="zh-CN"/>
        </w:rPr>
      </w:pPr>
      <w:r>
        <w:rPr>
          <w:rFonts w:hint="eastAsia"/>
          <w:lang w:val="en-US" w:eastAsia="zh-CN"/>
        </w:rPr>
        <w:t>例子二：</w:t>
      </w:r>
      <w:r>
        <w:drawing>
          <wp:inline distT="0" distB="0" distL="114300" distR="114300">
            <wp:extent cx="161925" cy="154940"/>
            <wp:effectExtent l="0" t="0" r="3175" b="1016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161925" cy="154940"/>
                    </a:xfrm>
                    <a:prstGeom prst="rect">
                      <a:avLst/>
                    </a:prstGeom>
                    <a:noFill/>
                    <a:ln>
                      <a:noFill/>
                    </a:ln>
                  </pic:spPr>
                </pic:pic>
              </a:graphicData>
            </a:graphic>
          </wp:inline>
        </w:drawing>
      </w:r>
      <w:r>
        <w:rPr>
          <w:rFonts w:hint="eastAsia"/>
          <w:lang w:val="en-US" w:eastAsia="zh-CN"/>
        </w:rPr>
        <w:t>与带</w:t>
      </w:r>
    </w:p>
    <w:p w14:paraId="339C3926">
      <w:pPr>
        <w:spacing w:line="360" w:lineRule="auto"/>
        <w:ind w:firstLine="480" w:firstLineChars="200"/>
        <w:rPr>
          <w:rFonts w:hint="eastAsia"/>
          <w:lang w:val="en-US" w:eastAsia="zh-CN"/>
        </w:rPr>
      </w:pPr>
      <w:r>
        <w:rPr>
          <w:rFonts w:hint="default"/>
          <w:lang w:val="en-US" w:eastAsia="zh-CN"/>
        </w:rPr>
        <w:t>在广西壮族的清道光时期的手抄本《送圣母小儿书》（民间藏）</w:t>
      </w:r>
      <w:r>
        <w:rPr>
          <w:rFonts w:hint="default" w:cs="SimSun" w:asciiTheme="minorAscii" w:hAnsiTheme="minorAscii"/>
          <w:sz w:val="24"/>
          <w:szCs w:val="24"/>
          <w:vertAlign w:val="superscript"/>
          <w:lang w:val="en-US" w:eastAsia="zh-CN"/>
        </w:rPr>
        <w:fldChar w:fldCharType="begin"/>
      </w:r>
      <w:r>
        <w:rPr>
          <w:rFonts w:hint="default" w:cs="SimSun" w:asciiTheme="minorAscii" w:hAnsiTheme="minorAscii"/>
          <w:sz w:val="24"/>
          <w:szCs w:val="24"/>
          <w:vertAlign w:val="superscript"/>
          <w:lang w:val="en-US" w:eastAsia="zh-CN"/>
        </w:rPr>
        <w:instrText xml:space="preserve"> REF _Ref7651 \r \h </w:instrText>
      </w:r>
      <w:r>
        <w:rPr>
          <w:rFonts w:hint="default" w:cs="SimSun" w:asciiTheme="minorAscii" w:hAnsiTheme="minorAscii"/>
          <w:sz w:val="24"/>
          <w:szCs w:val="24"/>
          <w:vertAlign w:val="superscript"/>
          <w:lang w:val="en-US" w:eastAsia="zh-CN"/>
        </w:rPr>
        <w:fldChar w:fldCharType="separate"/>
      </w:r>
      <w:r>
        <w:rPr>
          <w:rFonts w:hint="default" w:cs="SimSun" w:asciiTheme="minorAscii" w:hAnsiTheme="minorAscii"/>
          <w:sz w:val="24"/>
          <w:szCs w:val="24"/>
          <w:vertAlign w:val="superscript"/>
          <w:lang w:val="en-US" w:eastAsia="zh-CN"/>
        </w:rPr>
        <w:t>[9]</w:t>
      </w:r>
      <w:r>
        <w:rPr>
          <w:rFonts w:hint="default" w:cs="SimSun" w:asciiTheme="minorAscii" w:hAnsiTheme="minorAscii"/>
          <w:sz w:val="24"/>
          <w:szCs w:val="24"/>
          <w:vertAlign w:val="superscript"/>
          <w:lang w:val="en-US" w:eastAsia="zh-CN"/>
        </w:rPr>
        <w:fldChar w:fldCharType="end"/>
      </w:r>
      <w:r>
        <w:rPr>
          <w:rFonts w:hint="eastAsia"/>
          <w:lang w:val="en-US" w:eastAsia="zh-CN"/>
        </w:rPr>
        <w:t>、清晚期的《祭酒科》（民间藏）</w:t>
      </w:r>
      <w:r>
        <w:rPr>
          <w:rFonts w:hint="eastAsia"/>
          <w:vertAlign w:val="superscript"/>
          <w:lang w:val="en-US" w:eastAsia="zh-CN"/>
        </w:rPr>
        <w:fldChar w:fldCharType="begin"/>
      </w:r>
      <w:r>
        <w:rPr>
          <w:rFonts w:hint="eastAsia"/>
          <w:vertAlign w:val="superscript"/>
          <w:lang w:val="en-US" w:eastAsia="zh-CN"/>
        </w:rPr>
        <w:instrText xml:space="preserve"> REF _Ref10283 \r \h </w:instrText>
      </w:r>
      <w:r>
        <w:rPr>
          <w:rFonts w:hint="eastAsia"/>
          <w:vertAlign w:val="superscript"/>
          <w:lang w:val="en-US" w:eastAsia="zh-CN"/>
        </w:rPr>
        <w:fldChar w:fldCharType="separate"/>
      </w:r>
      <w:r>
        <w:rPr>
          <w:rFonts w:hint="eastAsia"/>
          <w:vertAlign w:val="superscript"/>
          <w:lang w:val="en-US" w:eastAsia="zh-CN"/>
        </w:rPr>
        <w:t>[15]</w:t>
      </w:r>
      <w:r>
        <w:rPr>
          <w:rFonts w:hint="eastAsia"/>
          <w:vertAlign w:val="superscript"/>
          <w:lang w:val="en-US" w:eastAsia="zh-CN"/>
        </w:rPr>
        <w:fldChar w:fldCharType="end"/>
      </w:r>
      <w:r>
        <w:rPr>
          <w:rFonts w:hint="eastAsia"/>
          <w:lang w:val="en-US" w:eastAsia="zh-CN"/>
        </w:rPr>
        <w:t>、《灵宝升度秘法大全》（民间藏）</w:t>
      </w:r>
      <w:r>
        <w:rPr>
          <w:rFonts w:hint="eastAsia"/>
          <w:vertAlign w:val="superscript"/>
          <w:lang w:val="en-US" w:eastAsia="zh-CN"/>
        </w:rPr>
        <w:fldChar w:fldCharType="begin"/>
      </w:r>
      <w:r>
        <w:rPr>
          <w:rFonts w:hint="eastAsia"/>
          <w:vertAlign w:val="superscript"/>
          <w:lang w:val="en-US" w:eastAsia="zh-CN"/>
        </w:rPr>
        <w:instrText xml:space="preserve"> REF _Ref7681 \r \h </w:instrText>
      </w:r>
      <w:r>
        <w:rPr>
          <w:rFonts w:hint="eastAsia"/>
          <w:vertAlign w:val="superscript"/>
          <w:lang w:val="en-US" w:eastAsia="zh-CN"/>
        </w:rPr>
        <w:fldChar w:fldCharType="separate"/>
      </w:r>
      <w:r>
        <w:rPr>
          <w:rFonts w:hint="eastAsia"/>
          <w:vertAlign w:val="superscript"/>
          <w:lang w:val="en-US" w:eastAsia="zh-CN"/>
        </w:rPr>
        <w:t>[10]</w:t>
      </w:r>
      <w:r>
        <w:rPr>
          <w:rFonts w:hint="eastAsia"/>
          <w:vertAlign w:val="superscript"/>
          <w:lang w:val="en-US" w:eastAsia="zh-CN"/>
        </w:rPr>
        <w:fldChar w:fldCharType="end"/>
      </w:r>
      <w:r>
        <w:rPr>
          <w:rFonts w:hint="eastAsia"/>
          <w:lang w:val="en-US" w:eastAsia="zh-CN"/>
        </w:rPr>
        <w:t>，</w:t>
      </w:r>
      <w:r>
        <w:rPr>
          <w:rFonts w:hint="eastAsia"/>
          <w:lang w:eastAsia="zh-CN"/>
        </w:rPr>
        <w:t>异体字“</w:t>
      </w:r>
      <w:r>
        <w:drawing>
          <wp:inline distT="0" distB="0" distL="114300" distR="114300">
            <wp:extent cx="161925" cy="154940"/>
            <wp:effectExtent l="0" t="0" r="3175" b="1016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7"/>
                    <a:stretch>
                      <a:fillRect/>
                    </a:stretch>
                  </pic:blipFill>
                  <pic:spPr>
                    <a:xfrm>
                      <a:off x="0" y="0"/>
                      <a:ext cx="161925" cy="154940"/>
                    </a:xfrm>
                    <a:prstGeom prst="rect">
                      <a:avLst/>
                    </a:prstGeom>
                    <a:noFill/>
                    <a:ln>
                      <a:noFill/>
                    </a:ln>
                  </pic:spPr>
                </pic:pic>
              </a:graphicData>
            </a:graphic>
          </wp:inline>
        </w:drawing>
      </w:r>
      <w:r>
        <w:rPr>
          <w:rFonts w:hint="eastAsia"/>
          <w:lang w:eastAsia="zh-CN"/>
        </w:rPr>
        <w:t>”（</w:t>
      </w:r>
      <w:r>
        <w:rPr>
          <w:rFonts w:hint="eastAsia"/>
          <w:lang w:val="en-US" w:eastAsia="zh-CN"/>
        </w:rPr>
        <w:t>带</w:t>
      </w:r>
      <w:r>
        <w:rPr>
          <w:rFonts w:hint="eastAsia"/>
          <w:lang w:eastAsia="zh-CN"/>
        </w:rPr>
        <w:t>）被广泛使用，常用于表达宗教灵性与神秘意涵，如道教中的“</w:t>
      </w:r>
      <w:r>
        <w:rPr>
          <w:rFonts w:hint="eastAsia"/>
          <w:lang w:val="en-US" w:eastAsia="zh-CN"/>
        </w:rPr>
        <w:t>冠带</w:t>
      </w:r>
      <w:r>
        <w:rPr>
          <w:rFonts w:hint="eastAsia"/>
          <w:lang w:eastAsia="zh-CN"/>
        </w:rPr>
        <w:t>”，</w:t>
      </w:r>
      <w:r>
        <w:rPr>
          <w:rFonts w:hint="eastAsia"/>
          <w:lang w:val="en-US" w:eastAsia="zh-CN"/>
        </w:rPr>
        <w:t>也</w:t>
      </w:r>
      <w:r>
        <w:rPr>
          <w:rFonts w:hint="eastAsia"/>
          <w:lang w:eastAsia="zh-CN"/>
        </w:rPr>
        <w:t>保留了汉族地区对该字的传统使用意义。</w:t>
      </w:r>
      <w:r>
        <w:rPr>
          <w:rFonts w:hint="eastAsia"/>
          <w:lang w:val="en-US" w:eastAsia="zh-CN"/>
        </w:rPr>
        <w:t>1930年</w:t>
      </w:r>
      <w:r>
        <w:rPr>
          <w:rFonts w:hint="eastAsia"/>
          <w:lang w:eastAsia="zh-CN"/>
        </w:rPr>
        <w:t>中华民国中央研究院历史语言研究所</w:t>
      </w:r>
      <w:r>
        <w:rPr>
          <w:rFonts w:hint="eastAsia"/>
          <w:lang w:val="en-US" w:eastAsia="zh-CN"/>
        </w:rPr>
        <w:t>编著的《</w:t>
      </w:r>
      <w:r>
        <w:rPr>
          <w:rFonts w:hint="eastAsia"/>
          <w:lang w:val="en-US" w:eastAsia="zh-CN"/>
        </w:rPr>
        <w:fldChar w:fldCharType="begin"/>
      </w:r>
      <w:r>
        <w:rPr>
          <w:rFonts w:hint="eastAsia"/>
          <w:lang w:val="en-US" w:eastAsia="zh-CN"/>
        </w:rPr>
        <w:instrText xml:space="preserve"> HYPERLINK "https://dict.variants.moe.edu.tw/dictView.jsp?ID=12885" \l "33" </w:instrText>
      </w:r>
      <w:r>
        <w:rPr>
          <w:rFonts w:hint="eastAsia"/>
          <w:lang w:val="en-US" w:eastAsia="zh-CN"/>
        </w:rPr>
        <w:fldChar w:fldCharType="separate"/>
      </w:r>
      <w:r>
        <w:rPr>
          <w:rFonts w:hint="eastAsia"/>
          <w:lang w:val="en-US" w:eastAsia="zh-CN"/>
        </w:rPr>
        <w:t>宋元以来俗字谱</w:t>
      </w:r>
      <w:r>
        <w:rPr>
          <w:rFonts w:hint="eastAsia"/>
          <w:lang w:val="en-US" w:eastAsia="zh-CN"/>
        </w:rPr>
        <w:fldChar w:fldCharType="end"/>
      </w:r>
      <w:r>
        <w:rPr>
          <w:rFonts w:hint="eastAsia"/>
          <w:lang w:val="en-US" w:eastAsia="zh-CN"/>
        </w:rPr>
        <w:t>·十画》</w:t>
      </w:r>
      <w:r>
        <w:rPr>
          <w:rFonts w:hint="eastAsia"/>
          <w:vertAlign w:val="superscript"/>
          <w:lang w:val="en-US" w:eastAsia="zh-CN"/>
        </w:rPr>
        <w:fldChar w:fldCharType="begin"/>
      </w:r>
      <w:r>
        <w:rPr>
          <w:rFonts w:hint="eastAsia"/>
          <w:vertAlign w:val="superscript"/>
          <w:lang w:val="en-US" w:eastAsia="zh-CN"/>
        </w:rPr>
        <w:instrText xml:space="preserve"> REF _Ref10773 \r \h </w:instrText>
      </w:r>
      <w:r>
        <w:rPr>
          <w:rFonts w:hint="eastAsia"/>
          <w:vertAlign w:val="superscript"/>
          <w:lang w:val="en-US" w:eastAsia="zh-CN"/>
        </w:rPr>
        <w:fldChar w:fldCharType="separate"/>
      </w:r>
      <w:r>
        <w:rPr>
          <w:rFonts w:hint="eastAsia"/>
          <w:vertAlign w:val="superscript"/>
          <w:lang w:val="en-US" w:eastAsia="zh-CN"/>
        </w:rPr>
        <w:t>[16]</w:t>
      </w:r>
      <w:r>
        <w:rPr>
          <w:rFonts w:hint="eastAsia"/>
          <w:vertAlign w:val="superscript"/>
          <w:lang w:val="en-US" w:eastAsia="zh-CN"/>
        </w:rPr>
        <w:fldChar w:fldCharType="end"/>
      </w:r>
      <w:r>
        <w:rPr>
          <w:rFonts w:hint="eastAsia"/>
          <w:lang w:val="en-US" w:eastAsia="zh-CN"/>
        </w:rPr>
        <w:t>引〈白袍记〉等文献中，异体字“</w:t>
      </w:r>
      <w:r>
        <w:drawing>
          <wp:inline distT="0" distB="0" distL="114300" distR="114300">
            <wp:extent cx="161925" cy="154940"/>
            <wp:effectExtent l="0" t="0" r="3175" b="1016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7"/>
                    <a:stretch>
                      <a:fillRect/>
                    </a:stretch>
                  </pic:blipFill>
                  <pic:spPr>
                    <a:xfrm>
                      <a:off x="0" y="0"/>
                      <a:ext cx="161925" cy="154940"/>
                    </a:xfrm>
                    <a:prstGeom prst="rect">
                      <a:avLst/>
                    </a:prstGeom>
                    <a:noFill/>
                    <a:ln>
                      <a:noFill/>
                    </a:ln>
                  </pic:spPr>
                </pic:pic>
              </a:graphicData>
            </a:graphic>
          </wp:inline>
        </w:drawing>
      </w:r>
      <w:r>
        <w:rPr>
          <w:rFonts w:hint="eastAsia"/>
          <w:lang w:val="en-US" w:eastAsia="zh-CN"/>
        </w:rPr>
        <w:t>”仍有出现。然而，至万历年间，焦竑在《俗书刊误·卷三·去声·泰韵》</w:t>
      </w:r>
      <w:r>
        <w:rPr>
          <w:rFonts w:hint="eastAsia"/>
          <w:vertAlign w:val="superscript"/>
          <w:lang w:val="en-US" w:eastAsia="zh-CN"/>
        </w:rPr>
        <w:fldChar w:fldCharType="begin"/>
      </w:r>
      <w:r>
        <w:rPr>
          <w:rFonts w:hint="eastAsia"/>
          <w:vertAlign w:val="superscript"/>
          <w:lang w:val="en-US" w:eastAsia="zh-CN"/>
        </w:rPr>
        <w:instrText xml:space="preserve"> REF _Ref10825 \r \h </w:instrText>
      </w:r>
      <w:r>
        <w:rPr>
          <w:rFonts w:hint="eastAsia"/>
          <w:vertAlign w:val="superscript"/>
          <w:lang w:val="en-US" w:eastAsia="zh-CN"/>
        </w:rPr>
        <w:fldChar w:fldCharType="separate"/>
      </w:r>
      <w:r>
        <w:rPr>
          <w:rFonts w:hint="eastAsia"/>
          <w:vertAlign w:val="superscript"/>
          <w:lang w:val="en-US" w:eastAsia="zh-CN"/>
        </w:rPr>
        <w:t>[17]</w:t>
      </w:r>
      <w:r>
        <w:rPr>
          <w:rFonts w:hint="eastAsia"/>
          <w:vertAlign w:val="superscript"/>
          <w:lang w:val="en-US" w:eastAsia="zh-CN"/>
        </w:rPr>
        <w:fldChar w:fldCharType="end"/>
      </w:r>
      <w:r>
        <w:rPr>
          <w:rFonts w:hint="eastAsia"/>
          <w:lang w:val="en-US" w:eastAsia="zh-CN"/>
        </w:rPr>
        <w:t>中指出，“带”为正字，并明确将“</w:t>
      </w:r>
      <w:r>
        <w:drawing>
          <wp:inline distT="0" distB="0" distL="114300" distR="114300">
            <wp:extent cx="161925" cy="154940"/>
            <wp:effectExtent l="0" t="0" r="3175" b="1016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161925" cy="154940"/>
                    </a:xfrm>
                    <a:prstGeom prst="rect">
                      <a:avLst/>
                    </a:prstGeom>
                    <a:noFill/>
                    <a:ln>
                      <a:noFill/>
                    </a:ln>
                  </pic:spPr>
                </pic:pic>
              </a:graphicData>
            </a:graphic>
          </wp:inline>
        </w:drawing>
      </w:r>
      <w:r>
        <w:rPr>
          <w:rFonts w:hint="eastAsia"/>
          <w:lang w:val="en-US" w:eastAsia="zh-CN"/>
        </w:rPr>
        <w:t>”归类为俗字，这标志着汉族地区的文字标准化过程进一步深化。</w:t>
      </w:r>
    </w:p>
    <w:p w14:paraId="18368BB9">
      <w:pPr>
        <w:spacing w:line="360" w:lineRule="auto"/>
        <w:ind w:firstLine="480" w:firstLineChars="200"/>
        <w:rPr>
          <w:rFonts w:hint="eastAsia"/>
          <w:lang w:val="en-US" w:eastAsia="zh-CN"/>
        </w:rPr>
      </w:pPr>
    </w:p>
    <w:p w14:paraId="116E2256">
      <w:pPr>
        <w:spacing w:line="360" w:lineRule="auto"/>
        <w:ind w:firstLine="480" w:firstLineChars="200"/>
        <w:rPr>
          <w:rFonts w:hint="default"/>
          <w:lang w:val="en-US" w:eastAsia="zh-CN"/>
        </w:rPr>
      </w:pPr>
      <w:r>
        <w:rPr>
          <w:rFonts w:hint="eastAsia"/>
          <w:lang w:val="en-US" w:eastAsia="zh-CN"/>
        </w:rPr>
        <w:t>小结：</w:t>
      </w:r>
    </w:p>
    <w:p w14:paraId="4405FA13">
      <w:pPr>
        <w:spacing w:line="360" w:lineRule="auto"/>
        <w:ind w:firstLine="480" w:firstLineChars="200"/>
        <w:rPr>
          <w:rFonts w:hint="eastAsia"/>
          <w:lang w:val="en-US" w:eastAsia="zh-CN"/>
        </w:rPr>
      </w:pPr>
      <w:r>
        <w:rPr>
          <w:rFonts w:hint="eastAsia"/>
          <w:lang w:val="en-US" w:eastAsia="zh-CN"/>
        </w:rPr>
        <w:t>通过“</w:t>
      </w:r>
      <w:r>
        <w:drawing>
          <wp:inline distT="0" distB="0" distL="114300" distR="114300">
            <wp:extent cx="162560" cy="16065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62560" cy="160655"/>
                    </a:xfrm>
                    <a:prstGeom prst="rect">
                      <a:avLst/>
                    </a:prstGeom>
                    <a:noFill/>
                    <a:ln>
                      <a:noFill/>
                    </a:ln>
                  </pic:spPr>
                </pic:pic>
              </a:graphicData>
            </a:graphic>
          </wp:inline>
        </w:drawing>
      </w:r>
      <w:r>
        <w:rPr>
          <w:rFonts w:hint="eastAsia"/>
          <w:lang w:val="en-US" w:eastAsia="zh-CN"/>
        </w:rPr>
        <w:t>”与“</w:t>
      </w:r>
      <w:r>
        <w:drawing>
          <wp:inline distT="0" distB="0" distL="114300" distR="114300">
            <wp:extent cx="161925" cy="154940"/>
            <wp:effectExtent l="0" t="0" r="3175"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61925" cy="154940"/>
                    </a:xfrm>
                    <a:prstGeom prst="rect">
                      <a:avLst/>
                    </a:prstGeom>
                    <a:noFill/>
                    <a:ln>
                      <a:noFill/>
                    </a:ln>
                  </pic:spPr>
                </pic:pic>
              </a:graphicData>
            </a:graphic>
          </wp:inline>
        </w:drawing>
      </w:r>
      <w:r>
        <w:rPr>
          <w:rFonts w:hint="eastAsia"/>
          <w:lang w:val="en-US" w:eastAsia="zh-CN"/>
        </w:rPr>
        <w:t>”两个异体字</w:t>
      </w:r>
      <w:r>
        <w:rPr>
          <w:rFonts w:hint="eastAsia"/>
          <w:lang w:eastAsia="zh-CN"/>
        </w:rPr>
        <w:t>在壮族文献中</w:t>
      </w:r>
      <w:r>
        <w:rPr>
          <w:rFonts w:hint="eastAsia"/>
          <w:lang w:val="en-US" w:eastAsia="zh-CN"/>
        </w:rPr>
        <w:t>的例子</w:t>
      </w:r>
      <w:r>
        <w:rPr>
          <w:rFonts w:hint="eastAsia"/>
          <w:lang w:eastAsia="zh-CN"/>
        </w:rPr>
        <w:t>，</w:t>
      </w:r>
      <w:r>
        <w:rPr>
          <w:rFonts w:hint="eastAsia"/>
          <w:lang w:val="en-US" w:eastAsia="zh-CN"/>
        </w:rPr>
        <w:t>它们</w:t>
      </w:r>
      <w:r>
        <w:rPr>
          <w:rFonts w:hint="eastAsia"/>
          <w:lang w:eastAsia="zh-CN"/>
        </w:rPr>
        <w:t>延续了汉族传统的语汇，又被赋予了地方化的功能，例如用来表达本地</w:t>
      </w:r>
      <w:r>
        <w:rPr>
          <w:rFonts w:hint="eastAsia"/>
          <w:lang w:val="en-US" w:eastAsia="zh-CN"/>
        </w:rPr>
        <w:t>信仰与中原汉文化信仰体系结合</w:t>
      </w:r>
      <w:r>
        <w:rPr>
          <w:rFonts w:hint="eastAsia"/>
          <w:lang w:eastAsia="zh-CN"/>
        </w:rPr>
        <w:t>的特定语境，</w:t>
      </w:r>
      <w:r>
        <w:rPr>
          <w:rFonts w:hint="eastAsia"/>
          <w:lang w:val="en-US" w:eastAsia="zh-CN"/>
        </w:rPr>
        <w:t>保留了该字在汉文化中的意义</w:t>
      </w:r>
      <w:r>
        <w:rPr>
          <w:rFonts w:hint="eastAsia"/>
          <w:lang w:eastAsia="zh-CN"/>
        </w:rPr>
        <w:t>。体现了中心与边缘在文字传承中的文化节奏差异</w:t>
      </w:r>
      <w:r>
        <w:rPr>
          <w:rFonts w:hint="eastAsia"/>
          <w:lang w:val="en-US" w:eastAsia="zh-CN"/>
        </w:rPr>
        <w:t>。边缘地区的异体字延续并非历史遗留，而是地方文化在吸收中心文化过程中展现的韧性与适应性。相比之下，汉族地区的文字规范化进程更为迅速。自明代起，通过刻本出版和科举制度的推动，异体字逐渐被淘汰，文字形态趋于统一。这一过程体现了中心文化传播的速度与广度，以及文字标准化背后的权力逻辑。</w:t>
      </w:r>
    </w:p>
    <w:p w14:paraId="620108FC">
      <w:pPr>
        <w:spacing w:line="360" w:lineRule="auto"/>
        <w:ind w:firstLine="480" w:firstLineChars="200"/>
        <w:rPr>
          <w:rFonts w:hint="eastAsia"/>
          <w:lang w:val="en-US" w:eastAsia="zh-CN"/>
        </w:rPr>
      </w:pPr>
      <w:r>
        <w:rPr>
          <w:rFonts w:hint="eastAsia"/>
          <w:lang w:val="en-US" w:eastAsia="zh-CN"/>
        </w:rPr>
        <w:t>本文研究还发现，明嘉靖时期的汉文化政策与壮族地区异体字的传承现象密切相关。据《广西通志》</w:t>
      </w:r>
      <w:r>
        <w:rPr>
          <w:rFonts w:hint="eastAsia"/>
          <w:vertAlign w:val="superscript"/>
          <w:lang w:val="en-US" w:eastAsia="zh-CN"/>
        </w:rPr>
        <w:fldChar w:fldCharType="begin"/>
      </w:r>
      <w:r>
        <w:rPr>
          <w:rFonts w:hint="eastAsia"/>
          <w:vertAlign w:val="superscript"/>
          <w:lang w:val="en-US" w:eastAsia="zh-CN"/>
        </w:rPr>
        <w:instrText xml:space="preserve"> REF _Ref11132 \r \h </w:instrText>
      </w:r>
      <w:r>
        <w:rPr>
          <w:rFonts w:hint="eastAsia"/>
          <w:vertAlign w:val="superscript"/>
          <w:lang w:val="en-US" w:eastAsia="zh-CN"/>
        </w:rPr>
        <w:fldChar w:fldCharType="separate"/>
      </w:r>
      <w:r>
        <w:rPr>
          <w:rFonts w:hint="eastAsia"/>
          <w:vertAlign w:val="superscript"/>
          <w:lang w:val="en-US" w:eastAsia="zh-CN"/>
        </w:rPr>
        <w:t>[18]</w:t>
      </w:r>
      <w:r>
        <w:rPr>
          <w:rFonts w:hint="eastAsia"/>
          <w:vertAlign w:val="superscript"/>
          <w:lang w:val="en-US" w:eastAsia="zh-CN"/>
        </w:rPr>
        <w:fldChar w:fldCharType="end"/>
      </w:r>
      <w:r>
        <w:rPr>
          <w:rFonts w:hint="eastAsia"/>
          <w:lang w:val="en-US" w:eastAsia="zh-CN"/>
        </w:rPr>
        <w:t>和《广西教育史》</w:t>
      </w:r>
      <w:r>
        <w:rPr>
          <w:rFonts w:hint="eastAsia"/>
          <w:vertAlign w:val="superscript"/>
          <w:lang w:val="en-US" w:eastAsia="zh-CN"/>
        </w:rPr>
        <w:fldChar w:fldCharType="begin"/>
      </w:r>
      <w:r>
        <w:rPr>
          <w:rFonts w:hint="eastAsia"/>
          <w:vertAlign w:val="superscript"/>
          <w:lang w:val="en-US" w:eastAsia="zh-CN"/>
        </w:rPr>
        <w:instrText xml:space="preserve"> REF _Ref11155 \r \h </w:instrText>
      </w:r>
      <w:r>
        <w:rPr>
          <w:rFonts w:hint="eastAsia"/>
          <w:vertAlign w:val="superscript"/>
          <w:lang w:val="en-US" w:eastAsia="zh-CN"/>
        </w:rPr>
        <w:fldChar w:fldCharType="separate"/>
      </w:r>
      <w:r>
        <w:rPr>
          <w:rFonts w:hint="eastAsia"/>
          <w:vertAlign w:val="superscript"/>
          <w:lang w:val="en-US" w:eastAsia="zh-CN"/>
        </w:rPr>
        <w:t>[19]</w:t>
      </w:r>
      <w:r>
        <w:rPr>
          <w:rFonts w:hint="eastAsia"/>
          <w:vertAlign w:val="superscript"/>
          <w:lang w:val="en-US" w:eastAsia="zh-CN"/>
        </w:rPr>
        <w:fldChar w:fldCharType="end"/>
      </w:r>
      <w:r>
        <w:rPr>
          <w:rFonts w:hint="eastAsia"/>
          <w:lang w:val="en-US" w:eastAsia="zh-CN"/>
        </w:rPr>
        <w:t>统计，明代广西书院达70所（新建66所，兴复4所），占历史上广西书院总数的23%，成为广西书院发展史的第一个高峰。嘉靖朝成为广西书院建设的高峰期，新建书院数量占整个明代的一半以上（金鉷等, 清朝；杨新益等, 1997）。蓝武、黄东成（2019）指出明中期的嘉靖一朝出现了大爆发式的涌现，新建书院数量达整个明朝一半以上。在这一时期，内阁大学士多次奏请创建书院，并得到了嘉靖皇帝的直接支持。</w:t>
      </w:r>
      <w:r>
        <w:rPr>
          <w:rFonts w:hint="eastAsia"/>
          <w:vertAlign w:val="superscript"/>
          <w:lang w:val="en-US" w:eastAsia="zh-CN"/>
        </w:rPr>
        <w:fldChar w:fldCharType="begin"/>
      </w:r>
      <w:r>
        <w:rPr>
          <w:rFonts w:hint="eastAsia"/>
          <w:vertAlign w:val="superscript"/>
          <w:lang w:val="en-US" w:eastAsia="zh-CN"/>
        </w:rPr>
        <w:instrText xml:space="preserve"> REF _Ref12586 \r \h </w:instrText>
      </w:r>
      <w:r>
        <w:rPr>
          <w:rFonts w:hint="eastAsia"/>
          <w:vertAlign w:val="superscript"/>
          <w:lang w:val="en-US" w:eastAsia="zh-CN"/>
        </w:rPr>
        <w:fldChar w:fldCharType="separate"/>
      </w:r>
      <w:r>
        <w:rPr>
          <w:rFonts w:hint="eastAsia"/>
          <w:vertAlign w:val="superscript"/>
          <w:lang w:val="en-US" w:eastAsia="zh-CN"/>
        </w:rPr>
        <w:t>[20]</w:t>
      </w:r>
      <w:r>
        <w:rPr>
          <w:rFonts w:hint="eastAsia"/>
          <w:vertAlign w:val="superscript"/>
          <w:lang w:val="en-US" w:eastAsia="zh-CN"/>
        </w:rPr>
        <w:fldChar w:fldCharType="end"/>
      </w:r>
      <w:r>
        <w:rPr>
          <w:rFonts w:hint="eastAsia"/>
          <w:lang w:val="en-US" w:eastAsia="zh-CN"/>
        </w:rPr>
        <w:t>这一政策大力推动了汉文化在广西地区的传播，为壮族社会学习和保留嘉靖年间汉字书写形式奠定了重要基础。</w:t>
      </w:r>
    </w:p>
    <w:p w14:paraId="3C4DC998">
      <w:pPr>
        <w:spacing w:line="360" w:lineRule="auto"/>
        <w:ind w:firstLine="480" w:firstLineChars="200"/>
        <w:rPr>
          <w:rFonts w:hint="eastAsia"/>
          <w:lang w:val="en-US" w:eastAsia="zh-CN"/>
        </w:rPr>
      </w:pPr>
      <w:r>
        <w:rPr>
          <w:rFonts w:hint="eastAsia"/>
          <w:lang w:val="en-US" w:eastAsia="zh-CN"/>
        </w:rPr>
        <w:t>边缘地区的文字变迁过程更具弹性与多样性，既承接了中原文化，又形成了地方特色。这种治理模式赋予边缘文化更大的弹性与多样性，使壮族地区能够承接中原文化的影响，同时拓展出独具地方特色的文字形式，即方块壮字。这些异体字成为边缘文化韧性与适应性和这一治理策略的具体体现，也记录了汉文化与少数民族文化在互动中的多样性与流动性。</w:t>
      </w:r>
    </w:p>
    <w:p w14:paraId="49E48B07">
      <w:pPr>
        <w:spacing w:line="360" w:lineRule="auto"/>
        <w:rPr>
          <w:rFonts w:hint="eastAsia"/>
          <w:lang w:eastAsia="zh-CN"/>
        </w:rPr>
      </w:pPr>
    </w:p>
    <w:p w14:paraId="559127CB">
      <w:pPr>
        <w:pStyle w:val="3"/>
        <w:bidi w:val="0"/>
        <w:rPr>
          <w:rFonts w:hint="eastAsia"/>
          <w:lang w:eastAsia="zh-CN"/>
        </w:rPr>
      </w:pPr>
      <w:r>
        <w:rPr>
          <w:rFonts w:hint="eastAsia"/>
          <w:lang w:val="en-US" w:eastAsia="zh-CN"/>
        </w:rPr>
        <w:t>汉字异体字在民族文献的化用</w:t>
      </w:r>
    </w:p>
    <w:p w14:paraId="79EFD700">
      <w:pPr>
        <w:ind w:firstLine="480" w:firstLineChars="200"/>
        <w:rPr>
          <w:rFonts w:hint="eastAsia"/>
          <w:lang w:eastAsia="zh-CN"/>
        </w:rPr>
      </w:pPr>
      <w:r>
        <w:rPr>
          <w:rFonts w:hint="eastAsia"/>
          <w:lang w:eastAsia="zh-CN"/>
        </w:rPr>
        <w:t>在前一部分的分析中</w:t>
      </w:r>
      <w:r>
        <w:rPr>
          <w:rFonts w:hint="eastAsia"/>
          <w:lang w:val="en-US" w:eastAsia="zh-CN"/>
        </w:rPr>
        <w:t>文章</w:t>
      </w:r>
      <w:r>
        <w:rPr>
          <w:rFonts w:hint="eastAsia"/>
          <w:lang w:eastAsia="zh-CN"/>
        </w:rPr>
        <w:t>探讨了少数民族地区在文字传承中的“文化保留”现象，即汉族异体字在边缘地区被较为完整地保留下来，并在地方宗教文本和民间书写中延续。边缘地区的这种文化保留，反映了少数民族地区在接受中原文化时的独特文化节奏。然而，随着汉文化在少数民族地区的进一步传播，文字不再仅仅是“被保留”，而是被赋予了新的地方化意义，甚至衍生出新的用法和语音，形成了文化融合的动态过程。</w:t>
      </w:r>
    </w:p>
    <w:p w14:paraId="0962269D">
      <w:pPr>
        <w:bidi w:val="0"/>
        <w:rPr>
          <w:rFonts w:hint="eastAsia"/>
          <w:lang w:eastAsia="zh-CN"/>
        </w:rPr>
      </w:pPr>
      <w:r>
        <w:rPr>
          <w:rFonts w:hint="eastAsia"/>
          <w:lang w:eastAsia="zh-CN"/>
        </w:rPr>
        <w:t>这种文化融合过程，体现在异体字的“化用”现象上。所谓“化用”，指的是汉族异体字在传入民族地区后，被少数民族在特定语境中重新定义，产生了与原汉字用法不同的地方化功能。这一现象反映了边缘地区文化的创造性和主动性，也揭示了文字传播过程中“由保留到融合”的递进逻辑。因此，少数民族地区对异体字的化用，是汉文化与地方文化互动的重要表现，也是文化节奏差异的进一步体现。</w:t>
      </w:r>
    </w:p>
    <w:p w14:paraId="566DBD42">
      <w:pPr>
        <w:bidi w:val="0"/>
        <w:ind w:firstLine="420" w:firstLineChars="0"/>
        <w:rPr>
          <w:rFonts w:hint="eastAsia"/>
          <w:lang w:eastAsia="zh-CN"/>
        </w:rPr>
      </w:pPr>
      <w:r>
        <w:rPr>
          <w:rFonts w:hint="eastAsia"/>
          <w:lang w:eastAsia="zh-CN"/>
        </w:rPr>
        <w:t>接下来，通过对</w:t>
      </w:r>
      <w:r>
        <w:drawing>
          <wp:inline distT="0" distB="0" distL="114300" distR="114300">
            <wp:extent cx="161925" cy="161925"/>
            <wp:effectExtent l="0" t="0" r="3175" b="31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eastAsia="zh-CN"/>
        </w:rPr>
        <w:t>和</w:t>
      </w:r>
      <w:r>
        <w:drawing>
          <wp:inline distT="0" distB="0" distL="114300" distR="114300">
            <wp:extent cx="161925" cy="161925"/>
            <wp:effectExtent l="0" t="0" r="3175" b="317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eastAsia="zh-CN"/>
        </w:rPr>
        <w:t>两个异体字在广西壮族文献中的具体化用情况进行分析，我们将探讨异体字在边缘地区的地方化演变过程，及其背后的文化意义和社会功能。</w:t>
      </w:r>
    </w:p>
    <w:p w14:paraId="373FF715">
      <w:pPr>
        <w:bidi w:val="0"/>
        <w:rPr>
          <w:rFonts w:hint="eastAsia"/>
          <w:lang w:val="en-US" w:eastAsia="zh-CN"/>
        </w:rPr>
      </w:pPr>
      <w:r>
        <w:rPr>
          <w:rFonts w:hint="eastAsia"/>
          <w:lang w:val="en-US" w:eastAsia="zh-CN"/>
        </w:rPr>
        <w:t>例子一：</w:t>
      </w:r>
      <w:r>
        <w:drawing>
          <wp:inline distT="0" distB="0" distL="114300" distR="114300">
            <wp:extent cx="161925" cy="161925"/>
            <wp:effectExtent l="0" t="0" r="3175" b="317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和晚</w:t>
      </w:r>
    </w:p>
    <w:p w14:paraId="272FDD54">
      <w:pPr>
        <w:bidi w:val="0"/>
        <w:ind w:firstLine="480" w:firstLineChars="200"/>
        <w:rPr>
          <w:rFonts w:hint="eastAsia"/>
          <w:lang w:val="en-US" w:eastAsia="zh-CN"/>
        </w:rPr>
      </w:pPr>
      <w:r>
        <w:rPr>
          <w:rFonts w:hint="eastAsia"/>
          <w:lang w:val="en-US" w:eastAsia="zh-CN"/>
        </w:rPr>
        <w:t>异体字“</w:t>
      </w:r>
      <w:r>
        <w:drawing>
          <wp:inline distT="0" distB="0" distL="114300" distR="114300">
            <wp:extent cx="161925" cy="161925"/>
            <wp:effectExtent l="0" t="0" r="3175" b="31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”在汉族文献中有明确的使用记录。《宋元以来俗字谱·日部》</w:t>
      </w:r>
      <w:r>
        <w:rPr>
          <w:rFonts w:hint="eastAsia"/>
          <w:vertAlign w:val="superscript"/>
          <w:lang w:val="en-US" w:eastAsia="zh-CN"/>
        </w:rPr>
        <w:fldChar w:fldCharType="begin"/>
      </w:r>
      <w:r>
        <w:rPr>
          <w:rFonts w:hint="eastAsia"/>
          <w:vertAlign w:val="superscript"/>
          <w:lang w:val="en-US" w:eastAsia="zh-CN"/>
        </w:rPr>
        <w:instrText xml:space="preserve"> REF _Ref10773 \r \h </w:instrText>
      </w:r>
      <w:r>
        <w:rPr>
          <w:rFonts w:hint="eastAsia"/>
          <w:vertAlign w:val="superscript"/>
          <w:lang w:val="en-US" w:eastAsia="zh-CN"/>
        </w:rPr>
        <w:fldChar w:fldCharType="separate"/>
      </w:r>
      <w:r>
        <w:rPr>
          <w:rFonts w:hint="eastAsia"/>
          <w:vertAlign w:val="superscript"/>
          <w:lang w:val="en-US" w:eastAsia="zh-CN"/>
        </w:rPr>
        <w:t>[16]</w:t>
      </w:r>
      <w:r>
        <w:rPr>
          <w:rFonts w:hint="eastAsia"/>
          <w:vertAlign w:val="superscript"/>
          <w:lang w:val="en-US" w:eastAsia="zh-CN"/>
        </w:rPr>
        <w:fldChar w:fldCharType="end"/>
      </w:r>
      <w:r>
        <w:rPr>
          <w:rFonts w:hint="eastAsia"/>
          <w:lang w:val="en-US" w:eastAsia="zh-CN"/>
        </w:rPr>
        <w:t>中引《太平乐府》《取经诗话》《娇红记》等文献，均出现过“</w:t>
      </w:r>
      <w:r>
        <w:drawing>
          <wp:inline distT="0" distB="0" distL="114300" distR="114300">
            <wp:extent cx="161925" cy="161925"/>
            <wp:effectExtent l="0" t="0" r="3175" b="31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该字在汉族地区主要作为日常书写中的俗字形式使用，常见于诗文和戏曲中，其字义与“晚”相关，主要表达时间的延续或推迟。然而，随着这一异体字传入广西壮族地区，其使用方式和含义发生了显著变化。</w:t>
      </w:r>
    </w:p>
    <w:p w14:paraId="0113A0FC">
      <w:pPr>
        <w:bidi w:val="0"/>
        <w:ind w:firstLine="480" w:firstLineChars="200"/>
        <w:rPr>
          <w:rFonts w:hint="eastAsia"/>
          <w:lang w:val="en-US" w:eastAsia="zh-CN"/>
        </w:rPr>
      </w:pPr>
      <w:r>
        <w:rPr>
          <w:rFonts w:hint="eastAsia"/>
          <w:lang w:val="en-US" w:eastAsia="zh-CN"/>
        </w:rPr>
        <w:t>在广西壮族的清晚期文献《灵宝升度秘法大全》</w:t>
      </w:r>
      <w:r>
        <w:rPr>
          <w:rFonts w:hint="eastAsia"/>
          <w:vertAlign w:val="superscript"/>
          <w:lang w:val="en-US" w:eastAsia="zh-CN"/>
        </w:rPr>
        <w:fldChar w:fldCharType="begin"/>
      </w:r>
      <w:r>
        <w:rPr>
          <w:rFonts w:hint="eastAsia"/>
          <w:vertAlign w:val="superscript"/>
          <w:lang w:val="en-US" w:eastAsia="zh-CN"/>
        </w:rPr>
        <w:instrText xml:space="preserve"> REF _Ref7681 \r \h </w:instrText>
      </w:r>
      <w:r>
        <w:rPr>
          <w:rFonts w:hint="eastAsia"/>
          <w:vertAlign w:val="superscript"/>
          <w:lang w:val="en-US" w:eastAsia="zh-CN"/>
        </w:rPr>
        <w:fldChar w:fldCharType="separate"/>
      </w:r>
      <w:r>
        <w:rPr>
          <w:rFonts w:hint="eastAsia"/>
          <w:vertAlign w:val="superscript"/>
          <w:lang w:val="en-US" w:eastAsia="zh-CN"/>
        </w:rPr>
        <w:t>[10]</w:t>
      </w:r>
      <w:r>
        <w:rPr>
          <w:rFonts w:hint="eastAsia"/>
          <w:vertAlign w:val="superscript"/>
          <w:lang w:val="en-US" w:eastAsia="zh-CN"/>
        </w:rPr>
        <w:fldChar w:fldCharType="end"/>
      </w:r>
      <w:r>
        <w:rPr>
          <w:rFonts w:hint="eastAsia"/>
          <w:lang w:val="en-US" w:eastAsia="zh-CN"/>
        </w:rPr>
        <w:t>中，出现了“</w:t>
      </w:r>
      <w:r>
        <w:drawing>
          <wp:inline distT="0" distB="0" distL="114300" distR="114300">
            <wp:extent cx="161925" cy="161925"/>
            <wp:effectExtent l="0" t="0" r="3175" b="317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上”一词。从语境来看，这里的“</w:t>
      </w:r>
      <w:r>
        <w:drawing>
          <wp:inline distT="0" distB="0" distL="114300" distR="114300">
            <wp:extent cx="161925" cy="161925"/>
            <wp:effectExtent l="0" t="0" r="3175" b="317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”保留了汉文化语境中的“晚”义，主要用于描述日暮；傍晚的时间。然而，在清道光时期的《送圣母小儿书》（民间藏）</w:t>
      </w:r>
      <w:r>
        <w:rPr>
          <w:rFonts w:hint="eastAsia"/>
          <w:vertAlign w:val="superscript"/>
          <w:lang w:val="en-US" w:eastAsia="zh-CN"/>
        </w:rPr>
        <w:fldChar w:fldCharType="begin"/>
      </w:r>
      <w:r>
        <w:rPr>
          <w:rFonts w:hint="eastAsia"/>
          <w:vertAlign w:val="superscript"/>
          <w:lang w:val="en-US" w:eastAsia="zh-CN"/>
        </w:rPr>
        <w:instrText xml:space="preserve"> REF _Ref7651 \r \h </w:instrText>
      </w:r>
      <w:r>
        <w:rPr>
          <w:rFonts w:hint="eastAsia"/>
          <w:vertAlign w:val="superscript"/>
          <w:lang w:val="en-US" w:eastAsia="zh-CN"/>
        </w:rPr>
        <w:fldChar w:fldCharType="separate"/>
      </w:r>
      <w:r>
        <w:rPr>
          <w:rFonts w:hint="eastAsia"/>
          <w:vertAlign w:val="superscript"/>
          <w:lang w:val="en-US" w:eastAsia="zh-CN"/>
        </w:rPr>
        <w:t>[9]</w:t>
      </w:r>
      <w:r>
        <w:rPr>
          <w:rFonts w:hint="eastAsia"/>
          <w:vertAlign w:val="superscript"/>
          <w:lang w:val="en-US" w:eastAsia="zh-CN"/>
        </w:rPr>
        <w:fldChar w:fldCharType="end"/>
      </w:r>
      <w:r>
        <w:rPr>
          <w:rFonts w:hint="eastAsia"/>
          <w:lang w:val="en-US" w:eastAsia="zh-CN"/>
        </w:rPr>
        <w:t>中，却发现这一字的用法明显发生了地方化变化。在“台麻傍圣母，明麻</w:t>
      </w:r>
      <w:r>
        <w:drawing>
          <wp:inline distT="0" distB="0" distL="114300" distR="114300">
            <wp:extent cx="161925" cy="161925"/>
            <wp:effectExtent l="0" t="0" r="3175" b="317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父妹”一句中，“</w:t>
      </w:r>
      <w:r>
        <w:drawing>
          <wp:inline distT="0" distB="0" distL="114300" distR="114300">
            <wp:extent cx="161925" cy="161925"/>
            <wp:effectExtent l="0" t="0" r="3175" b="317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”已脱离汉族原有的语义体系，取而代之的是壮语中的特定含义。进一步来看，在清光绪的广西南部壮族的《㰖梠浪》（民间藏）</w:t>
      </w:r>
      <w:r>
        <w:rPr>
          <w:rFonts w:hint="eastAsia"/>
          <w:vertAlign w:val="superscript"/>
          <w:lang w:val="en-US" w:eastAsia="zh-CN"/>
        </w:rPr>
        <w:fldChar w:fldCharType="begin"/>
      </w:r>
      <w:r>
        <w:rPr>
          <w:rFonts w:hint="eastAsia"/>
          <w:vertAlign w:val="superscript"/>
          <w:lang w:val="en-US" w:eastAsia="zh-CN"/>
        </w:rPr>
        <w:instrText xml:space="preserve"> REF _Ref13539 \r \h </w:instrText>
      </w:r>
      <w:r>
        <w:rPr>
          <w:rFonts w:hint="eastAsia"/>
          <w:vertAlign w:val="superscript"/>
          <w:lang w:val="en-US" w:eastAsia="zh-CN"/>
        </w:rPr>
        <w:fldChar w:fldCharType="separate"/>
      </w:r>
      <w:r>
        <w:rPr>
          <w:rFonts w:hint="eastAsia"/>
          <w:vertAlign w:val="superscript"/>
          <w:lang w:val="en-US" w:eastAsia="zh-CN"/>
        </w:rPr>
        <w:t>[21]</w:t>
      </w:r>
      <w:r>
        <w:rPr>
          <w:rFonts w:hint="eastAsia"/>
          <w:vertAlign w:val="superscript"/>
          <w:lang w:val="en-US" w:eastAsia="zh-CN"/>
        </w:rPr>
        <w:fldChar w:fldCharType="end"/>
      </w:r>
      <w:r>
        <w:rPr>
          <w:rFonts w:hint="eastAsia"/>
          <w:lang w:val="en-US" w:eastAsia="zh-CN"/>
        </w:rPr>
        <w:t>中，“</w:t>
      </w:r>
      <w:r>
        <w:drawing>
          <wp:inline distT="0" distB="0" distL="114300" distR="114300">
            <wp:extent cx="161925" cy="161925"/>
            <wp:effectExtent l="0" t="0" r="3175" b="3175"/>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隆加魂斗”一词的使用更具地方化特征，表明这一异体字在壮族语境中已被赋予新的宗教或仪式意义，可能与当地的信仰实践相关。</w:t>
      </w:r>
    </w:p>
    <w:p w14:paraId="17F52FE8">
      <w:pPr>
        <w:bidi w:val="0"/>
        <w:ind w:firstLine="480" w:firstLineChars="200"/>
        <w:rPr>
          <w:rFonts w:hint="eastAsia"/>
          <w:lang w:val="en-US" w:eastAsia="zh-CN"/>
        </w:rPr>
      </w:pPr>
      <w:r>
        <w:rPr>
          <w:rFonts w:hint="eastAsia"/>
          <w:lang w:val="en-US" w:eastAsia="zh-CN"/>
        </w:rPr>
        <w:t>由此可见，“</w:t>
      </w:r>
      <w:r>
        <w:drawing>
          <wp:inline distT="0" distB="0" distL="114300" distR="114300">
            <wp:extent cx="161925" cy="161925"/>
            <wp:effectExtent l="0" t="0" r="3175" b="317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在壮族文献中的化用过程，体现了异体字从中心文化向边缘文化传播时的地方化适应。这一字形不仅保留了原汉字的部分意义，还在地方宗教文本中展现出新的功能与内涵。这种化用现象显示了少数民族文化在接纳汉文化时的创造力与独立性，使原本属于汉文化的文字在新的文化语境中焕发出新的生命力。</w:t>
      </w:r>
    </w:p>
    <w:p w14:paraId="61FF8032">
      <w:pPr>
        <w:bidi w:val="0"/>
        <w:ind w:firstLine="480" w:firstLineChars="200"/>
        <w:rPr>
          <w:rFonts w:hint="default"/>
          <w:lang w:val="en-US" w:eastAsia="zh-CN"/>
        </w:rPr>
      </w:pPr>
    </w:p>
    <w:p w14:paraId="09E52FE6">
      <w:pPr>
        <w:bidi w:val="0"/>
        <w:rPr>
          <w:rFonts w:hint="eastAsia"/>
          <w:lang w:val="en-US" w:eastAsia="zh-CN"/>
        </w:rPr>
      </w:pPr>
      <w:r>
        <w:rPr>
          <w:rFonts w:hint="eastAsia"/>
          <w:lang w:val="en-US" w:eastAsia="zh-CN"/>
        </w:rPr>
        <w:t>例子二：</w:t>
      </w:r>
      <w:r>
        <w:drawing>
          <wp:inline distT="0" distB="0" distL="114300" distR="114300">
            <wp:extent cx="161925" cy="161925"/>
            <wp:effectExtent l="0" t="0" r="3175" b="317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和等</w:t>
      </w:r>
    </w:p>
    <w:p w14:paraId="6C854F2D">
      <w:pPr>
        <w:bidi w:val="0"/>
        <w:ind w:firstLine="720" w:firstLineChars="300"/>
        <w:rPr>
          <w:rFonts w:hint="eastAsia"/>
          <w:lang w:val="en-US" w:eastAsia="zh-CN"/>
        </w:rPr>
      </w:pPr>
      <w:r>
        <w:rPr>
          <w:rFonts w:hint="eastAsia"/>
          <w:lang w:val="en-US" w:eastAsia="zh-CN"/>
        </w:rPr>
        <w:t>异体字“</w:t>
      </w:r>
      <w:r>
        <w:drawing>
          <wp:inline distT="0" distB="0" distL="114300" distR="114300">
            <wp:extent cx="161925" cy="161925"/>
            <wp:effectExtent l="0" t="0" r="3175" b="317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”在汉族文献中同样有明确的使用记录。在《宋元以来俗字谱·竹部》</w:t>
      </w:r>
      <w:r>
        <w:rPr>
          <w:rFonts w:hint="eastAsia"/>
          <w:vertAlign w:val="superscript"/>
          <w:lang w:val="en-US" w:eastAsia="zh-CN"/>
        </w:rPr>
        <w:fldChar w:fldCharType="begin"/>
      </w:r>
      <w:r>
        <w:rPr>
          <w:rFonts w:hint="eastAsia"/>
          <w:vertAlign w:val="superscript"/>
          <w:lang w:val="en-US" w:eastAsia="zh-CN"/>
        </w:rPr>
        <w:instrText xml:space="preserve"> REF _Ref10773 \r \h </w:instrText>
      </w:r>
      <w:r>
        <w:rPr>
          <w:rFonts w:hint="eastAsia"/>
          <w:vertAlign w:val="superscript"/>
          <w:lang w:val="en-US" w:eastAsia="zh-CN"/>
        </w:rPr>
        <w:fldChar w:fldCharType="separate"/>
      </w:r>
      <w:r>
        <w:rPr>
          <w:rFonts w:hint="eastAsia"/>
          <w:vertAlign w:val="superscript"/>
          <w:lang w:val="en-US" w:eastAsia="zh-CN"/>
        </w:rPr>
        <w:t>[16]</w:t>
      </w:r>
      <w:r>
        <w:rPr>
          <w:rFonts w:hint="eastAsia"/>
          <w:vertAlign w:val="superscript"/>
          <w:lang w:val="en-US" w:eastAsia="zh-CN"/>
        </w:rPr>
        <w:fldChar w:fldCharType="end"/>
      </w:r>
      <w:r>
        <w:rPr>
          <w:rFonts w:hint="eastAsia"/>
          <w:lang w:val="en-US" w:eastAsia="zh-CN"/>
        </w:rPr>
        <w:t>中，该字被引自《娇红记》《东窗记》《白袍记》《目连记》等文献。“</w:t>
      </w:r>
      <w:r>
        <w:drawing>
          <wp:inline distT="0" distB="0" distL="114300" distR="114300">
            <wp:extent cx="161925" cy="161925"/>
            <wp:effectExtent l="0" t="0" r="3175" b="3175"/>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”字在汉族地区的使用通“等”，是日常俗字写法中的常见形式。然而，当这一异体字传入壮族地区后，其用法和含义也发生了显著变化。</w:t>
      </w:r>
    </w:p>
    <w:p w14:paraId="50568CAC">
      <w:pPr>
        <w:bidi w:val="0"/>
        <w:ind w:firstLine="480" w:firstLineChars="200"/>
        <w:rPr>
          <w:rFonts w:hint="eastAsia"/>
          <w:lang w:val="en-US" w:eastAsia="zh-CN"/>
        </w:rPr>
      </w:pPr>
      <w:r>
        <w:rPr>
          <w:rFonts w:hint="eastAsia"/>
          <w:lang w:val="en-US" w:eastAsia="zh-CN"/>
        </w:rPr>
        <w:t>在广西壮族的清道光时期文献《送圣母小儿书》</w:t>
      </w:r>
      <w:r>
        <w:rPr>
          <w:rFonts w:hint="eastAsia"/>
          <w:vertAlign w:val="superscript"/>
          <w:lang w:val="en-US" w:eastAsia="zh-CN"/>
        </w:rPr>
        <w:fldChar w:fldCharType="begin"/>
      </w:r>
      <w:r>
        <w:rPr>
          <w:rFonts w:hint="eastAsia"/>
          <w:vertAlign w:val="superscript"/>
          <w:lang w:val="en-US" w:eastAsia="zh-CN"/>
        </w:rPr>
        <w:instrText xml:space="preserve"> REF _Ref7651 \r \h </w:instrText>
      </w:r>
      <w:r>
        <w:rPr>
          <w:rFonts w:hint="eastAsia"/>
          <w:vertAlign w:val="superscript"/>
          <w:lang w:val="en-US" w:eastAsia="zh-CN"/>
        </w:rPr>
        <w:fldChar w:fldCharType="separate"/>
      </w:r>
      <w:r>
        <w:rPr>
          <w:rFonts w:hint="eastAsia"/>
          <w:vertAlign w:val="superscript"/>
          <w:lang w:val="en-US" w:eastAsia="zh-CN"/>
        </w:rPr>
        <w:t>[9]</w:t>
      </w:r>
      <w:r>
        <w:rPr>
          <w:rFonts w:hint="eastAsia"/>
          <w:vertAlign w:val="superscript"/>
          <w:lang w:val="en-US" w:eastAsia="zh-CN"/>
        </w:rPr>
        <w:fldChar w:fldCharType="end"/>
      </w:r>
      <w:r>
        <w:rPr>
          <w:rFonts w:hint="eastAsia"/>
          <w:lang w:val="en-US" w:eastAsia="zh-CN"/>
        </w:rPr>
        <w:t>中，“崇</w:t>
      </w:r>
      <w:r>
        <w:rPr>
          <w:rFonts w:hint="eastAsia" w:ascii="方块壮字宋体" w:hAnsi="方块壮字宋体" w:eastAsia="方块壮字宋体" w:cs="方块壮字宋体"/>
          <w:sz w:val="24"/>
          <w:szCs w:val="24"/>
          <w:lang w:val="en-US" w:eastAsia="zh-CN"/>
        </w:rPr>
        <w:t>𱗌</w:t>
      </w:r>
      <w:r>
        <w:rPr>
          <w:rFonts w:hint="eastAsia"/>
          <w:lang w:val="en-US" w:eastAsia="zh-CN"/>
        </w:rPr>
        <w:t>十二</w:t>
      </w:r>
      <w:r>
        <w:drawing>
          <wp:inline distT="0" distB="0" distL="114300" distR="114300">
            <wp:extent cx="161925" cy="161925"/>
            <wp:effectExtent l="0" t="0" r="3175" b="317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”一词的出现，表明“</w:t>
      </w:r>
      <w:r>
        <w:drawing>
          <wp:inline distT="0" distB="0" distL="114300" distR="114300">
            <wp:extent cx="161925" cy="161925"/>
            <wp:effectExtent l="0" t="0" r="3175" b="3175"/>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”字已被壮语化，并在地方祭祀活动中使用。这种用法与汉族地区的“等”义已不同，可能特指某种仪式或神灵的名称。在清晚期的《祭酒科》</w:t>
      </w:r>
      <w:r>
        <w:rPr>
          <w:rFonts w:hint="eastAsia"/>
          <w:vertAlign w:val="superscript"/>
          <w:lang w:val="en-US" w:eastAsia="zh-CN"/>
        </w:rPr>
        <w:fldChar w:fldCharType="begin"/>
      </w:r>
      <w:r>
        <w:rPr>
          <w:rFonts w:hint="eastAsia"/>
          <w:vertAlign w:val="superscript"/>
          <w:lang w:val="en-US" w:eastAsia="zh-CN"/>
        </w:rPr>
        <w:instrText xml:space="preserve"> REF _Ref10283 \r \h </w:instrText>
      </w:r>
      <w:r>
        <w:rPr>
          <w:rFonts w:hint="eastAsia"/>
          <w:vertAlign w:val="superscript"/>
          <w:lang w:val="en-US" w:eastAsia="zh-CN"/>
        </w:rPr>
        <w:fldChar w:fldCharType="separate"/>
      </w:r>
      <w:r>
        <w:rPr>
          <w:rFonts w:hint="eastAsia"/>
          <w:vertAlign w:val="superscript"/>
          <w:lang w:val="en-US" w:eastAsia="zh-CN"/>
        </w:rPr>
        <w:t>[15]</w:t>
      </w:r>
      <w:r>
        <w:rPr>
          <w:rFonts w:hint="eastAsia"/>
          <w:vertAlign w:val="superscript"/>
          <w:lang w:val="en-US" w:eastAsia="zh-CN"/>
        </w:rPr>
        <w:fldChar w:fldCharType="end"/>
      </w:r>
      <w:r>
        <w:rPr>
          <w:rFonts w:hint="eastAsia"/>
          <w:lang w:val="en-US" w:eastAsia="zh-CN"/>
        </w:rPr>
        <w:t>中，“偷</w:t>
      </w:r>
      <w:r>
        <w:rPr>
          <w:rFonts w:hint="eastAsia" w:ascii="方块壮字宋体" w:hAnsi="方块壮字宋体" w:eastAsia="方块壮字宋体" w:cs="方块壮字宋体"/>
          <w:sz w:val="24"/>
          <w:szCs w:val="24"/>
          <w:lang w:val="en-US" w:eastAsia="zh-CN"/>
        </w:rPr>
        <w:t>󵡐（来）</w:t>
      </w:r>
      <w:r>
        <w:drawing>
          <wp:inline distT="0" distB="0" distL="114300" distR="114300">
            <wp:extent cx="161925" cy="161925"/>
            <wp:effectExtent l="0" t="0" r="3175" b="3175"/>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咟都”一句进一步展示了“</w:t>
      </w:r>
      <w:r>
        <w:drawing>
          <wp:inline distT="0" distB="0" distL="114300" distR="114300">
            <wp:extent cx="161925" cy="161925"/>
            <wp:effectExtent l="0" t="0" r="3175" b="3175"/>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”字在壮族口语中的使用情况，表现出浓厚的地方色彩。在清晚期的《灵宝升度秘法大全》</w:t>
      </w:r>
      <w:r>
        <w:rPr>
          <w:rFonts w:hint="eastAsia"/>
          <w:vertAlign w:val="superscript"/>
          <w:lang w:val="en-US" w:eastAsia="zh-CN"/>
        </w:rPr>
        <w:fldChar w:fldCharType="begin"/>
      </w:r>
      <w:r>
        <w:rPr>
          <w:rFonts w:hint="eastAsia"/>
          <w:vertAlign w:val="superscript"/>
          <w:lang w:val="en-US" w:eastAsia="zh-CN"/>
        </w:rPr>
        <w:instrText xml:space="preserve"> REF _Ref7681 \r \h </w:instrText>
      </w:r>
      <w:r>
        <w:rPr>
          <w:rFonts w:hint="eastAsia"/>
          <w:vertAlign w:val="superscript"/>
          <w:lang w:val="en-US" w:eastAsia="zh-CN"/>
        </w:rPr>
        <w:fldChar w:fldCharType="separate"/>
      </w:r>
      <w:r>
        <w:rPr>
          <w:rFonts w:hint="eastAsia"/>
          <w:vertAlign w:val="superscript"/>
          <w:lang w:val="en-US" w:eastAsia="zh-CN"/>
        </w:rPr>
        <w:t>[10]</w:t>
      </w:r>
      <w:r>
        <w:rPr>
          <w:rFonts w:hint="eastAsia"/>
          <w:vertAlign w:val="superscript"/>
          <w:lang w:val="en-US" w:eastAsia="zh-CN"/>
        </w:rPr>
        <w:fldChar w:fldCharType="end"/>
      </w:r>
      <w:r>
        <w:rPr>
          <w:rFonts w:hint="eastAsia"/>
          <w:lang w:val="en-US" w:eastAsia="zh-CN"/>
        </w:rPr>
        <w:t>中，“一门</w:t>
      </w:r>
      <w:r>
        <w:drawing>
          <wp:inline distT="0" distB="0" distL="114300" distR="114300">
            <wp:extent cx="161925" cy="161925"/>
            <wp:effectExtent l="0" t="0" r="3175" b="3175"/>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衆”一词的使用，则表明“</w:t>
      </w:r>
      <w:r>
        <w:drawing>
          <wp:inline distT="0" distB="0" distL="114300" distR="114300">
            <wp:extent cx="161925" cy="161925"/>
            <wp:effectExtent l="0" t="0" r="3175" b="3175"/>
            <wp:docPr id="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”字在该语境中仍保留了汉文化中的“众”义。综上，这种双重语义的存在，反映了异体字在民族文献中的复杂化用过程。</w:t>
      </w:r>
    </w:p>
    <w:p w14:paraId="185B7F70">
      <w:pPr>
        <w:bidi w:val="0"/>
        <w:ind w:firstLine="480" w:firstLineChars="200"/>
        <w:rPr>
          <w:rFonts w:hint="eastAsia"/>
          <w:lang w:val="en-US" w:eastAsia="zh-CN"/>
        </w:rPr>
      </w:pPr>
    </w:p>
    <w:p w14:paraId="554EA98B">
      <w:pPr>
        <w:spacing w:line="360" w:lineRule="auto"/>
        <w:ind w:firstLine="480" w:firstLineChars="200"/>
        <w:rPr>
          <w:rFonts w:hint="default"/>
          <w:lang w:val="en-US" w:eastAsia="zh-CN"/>
        </w:rPr>
      </w:pPr>
      <w:r>
        <w:rPr>
          <w:rFonts w:hint="eastAsia"/>
          <w:lang w:val="en-US" w:eastAsia="zh-CN"/>
        </w:rPr>
        <w:t>小结：</w:t>
      </w:r>
    </w:p>
    <w:p w14:paraId="26B5FFD2">
      <w:pPr>
        <w:bidi w:val="0"/>
        <w:spacing w:line="360" w:lineRule="auto"/>
        <w:ind w:firstLine="480" w:firstLineChars="200"/>
        <w:rPr>
          <w:rFonts w:hint="eastAsia" w:ascii="SimSun" w:hAnsi="SimSun" w:eastAsia="SimSun" w:cs="SimSun"/>
          <w:lang w:val="en-US" w:eastAsia="zh-CN"/>
        </w:rPr>
      </w:pPr>
      <w:r>
        <w:rPr>
          <w:rFonts w:hint="eastAsia" w:ascii="SimSun" w:hAnsi="SimSun" w:eastAsia="SimSun" w:cs="SimSun"/>
          <w:lang w:val="en-US" w:eastAsia="zh-CN"/>
        </w:rPr>
        <w:t>通过对异体字“</w:t>
      </w:r>
      <w:r>
        <w:drawing>
          <wp:inline distT="0" distB="0" distL="114300" distR="114300">
            <wp:extent cx="161925" cy="161925"/>
            <wp:effectExtent l="0" t="0" r="3175" b="317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8"/>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”和“</w:t>
      </w:r>
      <w:r>
        <w:drawing>
          <wp:inline distT="0" distB="0" distL="114300" distR="114300">
            <wp:extent cx="161925" cy="161925"/>
            <wp:effectExtent l="0" t="0" r="3175" b="3175"/>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在壮族文献中的具体化用分析，可以清晰地看到少数民族地区在接受汉文化时所展现的主动适应和创造性。这些异体字在传播至边缘地区后，经历了字形的简化与变形，语音的本地化转变，以及语义的拓展与再创造，逐渐融入当地的文化体系，成为民族语言表达的重要组成部分。这种化用现象不仅展示了文字传播过程中中心文化的辐射影响，也反映了边缘地区文化的强大韧性和再造能力。然而，由于民族文献的保存与研究尚不完善，目前学界对部分异体字在地方文献中的确切读音、语义及其使用背景仍缺乏系统性的研究，尤其是在口语与书面语的转换关系上，仍存在诸多未解之处。这种不确定性不仅反映了少数民族文献研究的局限，也提示我们对民族文化的地方化现象需更加关注。在未来的研究中，可以进一步加强民族文献的整理与释读工作，从跨学科的视角出发，将语言学、人类学和历史学相结合，深入探讨这些异体字在地方社会中的实际功能与象征意义。通过更系统、更全面的研究，我们或许能够进一步揭示这些文字背后的社会文化机制，为理解汉文化与少数民族文化的互动模式提供新的视角与理论依据。同时，这也有助于在当代的文化保护与传承工作中，更好地认识民族地区的文化多样性及其历史价值。</w:t>
      </w:r>
    </w:p>
    <w:p w14:paraId="748FF2FB">
      <w:pPr>
        <w:pStyle w:val="17"/>
        <w:keepNext w:val="0"/>
        <w:keepLines w:val="0"/>
        <w:widowControl/>
        <w:suppressLineNumbers w:val="0"/>
        <w:spacing w:line="360" w:lineRule="auto"/>
        <w:rPr>
          <w:rFonts w:hint="eastAsia" w:ascii="SimSun" w:hAnsi="SimSun" w:eastAsia="SimSun" w:cs="SimSun"/>
          <w:lang w:val="en-US" w:eastAsia="zh-CN"/>
        </w:rPr>
      </w:pPr>
    </w:p>
    <w:p w14:paraId="49ACF5D7">
      <w:pPr>
        <w:pStyle w:val="3"/>
        <w:bidi w:val="0"/>
        <w:rPr>
          <w:rFonts w:hint="default"/>
          <w:lang w:val="en-US" w:eastAsia="zh-CN"/>
        </w:rPr>
      </w:pPr>
      <w:r>
        <w:rPr>
          <w:rFonts w:hint="eastAsia"/>
          <w:lang w:val="en-US" w:eastAsia="zh-CN"/>
        </w:rPr>
        <w:t>汉字异体字进一步传播、扩展</w:t>
      </w:r>
    </w:p>
    <w:p w14:paraId="39941D06">
      <w:pPr>
        <w:ind w:firstLine="480" w:firstLineChars="200"/>
        <w:rPr>
          <w:rFonts w:hint="eastAsia" w:ascii="SimSun" w:hAnsi="SimSun" w:eastAsia="SimSun" w:cs="SimSun"/>
          <w:lang w:val="en-US" w:eastAsia="zh-CN"/>
        </w:rPr>
      </w:pPr>
      <w:r>
        <w:rPr>
          <w:rFonts w:hint="eastAsia" w:ascii="SimSun" w:hAnsi="SimSun" w:eastAsia="SimSun" w:cs="SimSun"/>
          <w:lang w:val="en-US" w:eastAsia="zh-CN"/>
        </w:rPr>
        <w:t>在前两部分的讨论中，我们分析了汉字异体字在少数民族地区的保留与地方化现象，展示了中心文化向边缘地区的传播路径。然而，文化的传播并未止步于此。从少数民族地区出发，汉字异体字的影响力可能进一步扩展至更远的边疆甚至东南亚地区。这一传播路径的重要性在于，少数民族地区不仅是中原文化的接受者，同时也可能充当了文化传播的“桥梁”角色，将汉字文化向更南部的东南亚文化圈传递，甚至在某种程度上充当了副中心或文化扩散的中介。</w:t>
      </w:r>
    </w:p>
    <w:p w14:paraId="087733FA">
      <w:pPr>
        <w:ind w:firstLine="480" w:firstLineChars="200"/>
        <w:rPr>
          <w:rFonts w:hint="eastAsia" w:ascii="SimSun" w:hAnsi="SimSun" w:eastAsia="SimSun" w:cs="SimSun"/>
          <w:lang w:val="en-US" w:eastAsia="zh-CN"/>
        </w:rPr>
      </w:pPr>
      <w:r>
        <w:rPr>
          <w:rFonts w:hint="eastAsia" w:ascii="SimSun" w:hAnsi="SimSun" w:eastAsia="SimSun" w:cs="SimSun"/>
          <w:lang w:val="en-US" w:eastAsia="zh-CN"/>
        </w:rPr>
        <w:t>在这一部分中，将以壮族文献中的异体字与越南喃字的对比为例，分析汉字异体字如何通过广西壮族地区的文献进一步传播到越南文化圈。通过对两个异体字的追踪，可以清晰地看到文化的交融与适应过程。这一现象表明，少数民族地区在中原文化和东南亚文化之间，不仅是被动接受的一方，更是文化传播的推动者，在文字、语言和文化认同的多元互动中发挥了重要作用。</w:t>
      </w:r>
    </w:p>
    <w:p w14:paraId="48706A6C">
      <w:pPr>
        <w:pStyle w:val="17"/>
        <w:keepNext w:val="0"/>
        <w:keepLines w:val="0"/>
        <w:widowControl/>
        <w:suppressLineNumbers w:val="0"/>
        <w:bidi w:val="0"/>
        <w:spacing w:line="360" w:lineRule="auto"/>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例子一“</w:t>
      </w:r>
      <w:r>
        <w:rPr>
          <w:rFonts w:hint="eastAsia" w:ascii="SimSun" w:hAnsi="SimSun" w:eastAsia="SimSun" w:cs="SimSun"/>
        </w:rPr>
        <w:drawing>
          <wp:inline distT="0" distB="0" distL="114300" distR="114300">
            <wp:extent cx="161925" cy="161925"/>
            <wp:effectExtent l="0" t="0" r="3175" b="3175"/>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w:t>
      </w:r>
    </w:p>
    <w:p w14:paraId="4DE46570">
      <w:pPr>
        <w:ind w:firstLine="480" w:firstLineChars="200"/>
        <w:rPr>
          <w:rFonts w:hint="eastAsia" w:ascii="SimSun" w:hAnsi="SimSun" w:eastAsia="SimSun" w:cs="SimSun"/>
          <w:lang w:val="en-US" w:eastAsia="zh-CN"/>
        </w:rPr>
      </w:pPr>
      <w:r>
        <w:rPr>
          <w:rFonts w:hint="eastAsia" w:ascii="SimSun" w:hAnsi="SimSun" w:eastAsia="SimSun" w:cs="SimSun"/>
          <w:lang w:val="en-US" w:eastAsia="zh-CN"/>
        </w:rPr>
        <w:t>据第二部分分析得出，异体字“</w:t>
      </w:r>
      <w:r>
        <w:rPr>
          <w:rFonts w:hint="eastAsia" w:ascii="SimSun" w:hAnsi="SimSun" w:eastAsia="SimSun" w:cs="SimSun"/>
        </w:rPr>
        <w:drawing>
          <wp:inline distT="0" distB="0" distL="114300" distR="114300">
            <wp:extent cx="161925" cy="161925"/>
            <wp:effectExtent l="0" t="0" r="3175" b="3175"/>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eastAsia="zh-CN"/>
        </w:rPr>
        <w:t>”</w:t>
      </w:r>
      <w:r>
        <w:rPr>
          <w:rFonts w:hint="eastAsia" w:ascii="SimSun" w:hAnsi="SimSun" w:eastAsia="SimSun" w:cs="SimSun"/>
          <w:lang w:val="en-US" w:eastAsia="zh-CN"/>
        </w:rPr>
        <w:t>在清代广西壮族文献《送圣母小儿书》《祭酒科》等文本中出现频繁，主要用于通汉语“等”和一些地方化概念。而在越南的《ự đin chữ Nôm Tày. Nxb》（TĐCNT）</w:t>
      </w:r>
      <w:r>
        <w:rPr>
          <w:rFonts w:hint="default" w:eastAsia="SimSun" w:cs="SimSun" w:asciiTheme="minorAscii" w:hAnsiTheme="minorAscii"/>
          <w:vertAlign w:val="superscript"/>
          <w:lang w:val="en-US" w:eastAsia="zh-CN"/>
        </w:rPr>
        <w:fldChar w:fldCharType="begin"/>
      </w:r>
      <w:r>
        <w:rPr>
          <w:rFonts w:hint="default" w:eastAsia="SimSun" w:cs="SimSun" w:asciiTheme="minorAscii" w:hAnsiTheme="minorAscii"/>
          <w:vertAlign w:val="superscript"/>
          <w:lang w:val="en-US" w:eastAsia="zh-CN"/>
        </w:rPr>
        <w:instrText xml:space="preserve"> REF _Ref15449 \r \h </w:instrText>
      </w:r>
      <w:r>
        <w:rPr>
          <w:rFonts w:hint="default" w:eastAsia="SimSun" w:cs="SimSun" w:asciiTheme="minorAscii" w:hAnsiTheme="minorAscii"/>
          <w:vertAlign w:val="superscript"/>
          <w:lang w:val="en-US" w:eastAsia="zh-CN"/>
        </w:rPr>
        <w:fldChar w:fldCharType="separate"/>
      </w:r>
      <w:r>
        <w:rPr>
          <w:rFonts w:hint="default" w:eastAsia="SimSun" w:cs="SimSun" w:asciiTheme="minorAscii" w:hAnsiTheme="minorAscii"/>
          <w:vertAlign w:val="superscript"/>
          <w:lang w:val="en-US" w:eastAsia="zh-CN"/>
        </w:rPr>
        <w:t>[22]</w:t>
      </w:r>
      <w:r>
        <w:rPr>
          <w:rFonts w:hint="default" w:eastAsia="SimSun" w:cs="SimSun" w:asciiTheme="minorAscii" w:hAnsiTheme="minorAscii"/>
          <w:vertAlign w:val="superscript"/>
          <w:lang w:val="en-US" w:eastAsia="zh-CN"/>
        </w:rPr>
        <w:fldChar w:fldCharType="end"/>
      </w:r>
      <w:r>
        <w:rPr>
          <w:rFonts w:hint="eastAsia" w:ascii="SimSun" w:hAnsi="SimSun" w:eastAsia="SimSun" w:cs="SimSun"/>
          <w:lang w:val="en-US" w:eastAsia="zh-CN"/>
        </w:rPr>
        <w:t>词典中，同样可以发现</w:t>
      </w:r>
      <w:r>
        <w:rPr>
          <w:rFonts w:hint="eastAsia" w:ascii="SimSun" w:hAnsi="SimSun" w:cs="SimSun"/>
          <w:lang w:val="en-US" w:eastAsia="zh-CN"/>
        </w:rPr>
        <w:t>该</w:t>
      </w:r>
      <w:r>
        <w:rPr>
          <w:rFonts w:hint="eastAsia" w:ascii="SimSun" w:hAnsi="SimSun" w:eastAsia="SimSun" w:cs="SimSun"/>
          <w:lang w:val="en-US" w:eastAsia="zh-CN"/>
        </w:rPr>
        <w:t>字的存在。该字被收录于“Sí Tấng”（四</w:t>
      </w:r>
      <w:r>
        <w:rPr>
          <w:rFonts w:hint="eastAsia" w:ascii="SimSun" w:hAnsi="SimSun" w:eastAsia="SimSun" w:cs="SimSun"/>
        </w:rPr>
        <w:drawing>
          <wp:inline distT="0" distB="0" distL="114300" distR="114300">
            <wp:extent cx="161925" cy="161925"/>
            <wp:effectExtent l="0" t="0" r="3175" b="3175"/>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）一词中，意为“立方体”或“六面体”。词典对“Sí Tấng”的解释是：</w:t>
      </w:r>
      <w:r>
        <w:rPr>
          <w:rFonts w:hint="eastAsia" w:ascii="SimSun" w:hAnsi="SimSun" w:eastAsia="SimSun" w:cs="SimSun"/>
          <w:b w:val="0"/>
          <w:bCs w:val="0"/>
          <w:lang w:val="en-US" w:eastAsia="zh-CN"/>
        </w:rPr>
        <w:t>“Khối có sáu mặt vuông bằng nhau”，即“一个六个面全为正方形的立体形状”。此外，在该词典的句例中，“坤门四</w:t>
      </w:r>
      <w:r>
        <w:rPr>
          <w:rFonts w:hint="eastAsia" w:ascii="SimSun" w:hAnsi="SimSun" w:eastAsia="SimSun" w:cs="SimSun"/>
          <w:b w:val="0"/>
          <w:bCs w:val="0"/>
        </w:rPr>
        <w:drawing>
          <wp:inline distT="0" distB="0" distL="114300" distR="114300">
            <wp:extent cx="161925" cy="161925"/>
            <wp:effectExtent l="0" t="0" r="3175" b="3175"/>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b w:val="0"/>
          <w:bCs w:val="0"/>
          <w:lang w:val="en-US" w:eastAsia="zh-CN"/>
        </w:rPr>
        <w:t>否都”（Khuôn mần sí tấng bấu to）解释为：“圆形和立方体的形状无需测量”（Hình tròn cũng như khối lập phương thì không cần đo）。</w:t>
      </w:r>
    </w:p>
    <w:p w14:paraId="74E0927B">
      <w:pPr>
        <w:ind w:firstLine="480" w:firstLineChars="200"/>
        <w:rPr>
          <w:rFonts w:hint="eastAsia" w:ascii="SimSun" w:hAnsi="SimSun" w:eastAsia="SimSun" w:cs="SimSun"/>
          <w:lang w:val="en-US" w:eastAsia="zh-CN"/>
        </w:rPr>
      </w:pPr>
      <w:r>
        <w:rPr>
          <w:rFonts w:hint="eastAsia" w:ascii="SimSun" w:hAnsi="SimSun" w:eastAsia="SimSun" w:cs="SimSun"/>
          <w:lang w:val="en-US" w:eastAsia="zh-CN"/>
        </w:rPr>
        <w:t>通过对比可以发现，</w:t>
      </w:r>
      <w:r>
        <w:rPr>
          <w:rFonts w:hint="eastAsia" w:ascii="SimSun" w:hAnsi="SimSun" w:cs="SimSun"/>
          <w:lang w:val="en-US" w:eastAsia="zh-CN"/>
        </w:rPr>
        <w:t>该</w:t>
      </w:r>
      <w:r>
        <w:rPr>
          <w:rFonts w:hint="eastAsia" w:ascii="SimSun" w:hAnsi="SimSun" w:eastAsia="SimSun" w:cs="SimSun"/>
          <w:lang w:val="en-US" w:eastAsia="zh-CN"/>
        </w:rPr>
        <w:t>字在越南语中的使用语境已发生了显著变化。在壮族文献中，</w:t>
      </w:r>
      <w:r>
        <w:rPr>
          <w:rFonts w:hint="eastAsia" w:ascii="SimSun" w:hAnsi="SimSun" w:eastAsia="SimSun" w:cs="SimSun"/>
        </w:rPr>
        <w:drawing>
          <wp:inline distT="0" distB="0" distL="114300" distR="114300">
            <wp:extent cx="161925" cy="161925"/>
            <wp:effectExtent l="0" t="0" r="3175" b="3175"/>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字主要表示动词；而在越南语环境中，</w:t>
      </w:r>
      <w:r>
        <w:rPr>
          <w:rFonts w:hint="eastAsia" w:ascii="SimSun" w:hAnsi="SimSun" w:eastAsia="SimSun" w:cs="SimSun"/>
        </w:rPr>
        <w:drawing>
          <wp:inline distT="0" distB="0" distL="114300" distR="114300">
            <wp:extent cx="161925" cy="161925"/>
            <wp:effectExtent l="0" t="0" r="3175" b="3175"/>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字被融入了几何概念的描述，成为用于形容立方体的词汇。这一语义演变过程表明，</w:t>
      </w:r>
      <w:r>
        <w:rPr>
          <w:rFonts w:hint="eastAsia" w:ascii="SimSun" w:hAnsi="SimSun" w:eastAsia="SimSun" w:cs="SimSun"/>
        </w:rPr>
        <w:drawing>
          <wp:inline distT="0" distB="0" distL="114300" distR="114300">
            <wp:extent cx="161925" cy="161925"/>
            <wp:effectExtent l="0" t="0" r="3175" b="317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字在传播到越南文化圈后，经历了地方化适应和语义扩展。这一变化可能源于越南本地文化的需求，促使</w:t>
      </w:r>
      <w:r>
        <w:rPr>
          <w:rFonts w:hint="eastAsia" w:ascii="SimSun" w:hAnsi="SimSun" w:eastAsia="SimSun" w:cs="SimSun"/>
        </w:rPr>
        <w:drawing>
          <wp:inline distT="0" distB="0" distL="114300" distR="114300">
            <wp:extent cx="161925" cy="161925"/>
            <wp:effectExtent l="0" t="0" r="3175" b="3175"/>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字被赋予了新的功能和意义。</w:t>
      </w:r>
    </w:p>
    <w:p w14:paraId="6485CD54">
      <w:pPr>
        <w:rPr>
          <w:rFonts w:hint="eastAsia" w:ascii="SimSun" w:hAnsi="SimSun" w:eastAsia="SimSun" w:cs="SimSun"/>
          <w:lang w:val="en-US" w:eastAsia="zh-CN"/>
        </w:rPr>
      </w:pPr>
    </w:p>
    <w:p w14:paraId="1A09B0C2">
      <w:pPr>
        <w:rPr>
          <w:rFonts w:hint="eastAsia" w:ascii="SimSun" w:hAnsi="SimSun" w:eastAsia="SimSun" w:cs="SimSun"/>
          <w:sz w:val="24"/>
          <w:szCs w:val="24"/>
          <w:lang w:val="en-US" w:eastAsia="zh-CN"/>
        </w:rPr>
      </w:pPr>
      <w:r>
        <w:rPr>
          <w:rFonts w:hint="eastAsia" w:ascii="SimSun" w:hAnsi="SimSun" w:eastAsia="SimSun" w:cs="SimSun"/>
          <w:lang w:val="en-US" w:eastAsia="zh-CN"/>
        </w:rPr>
        <w:t>例子二“</w:t>
      </w:r>
      <w:r>
        <w:rPr>
          <w:rFonts w:hint="eastAsia" w:ascii="SimSun" w:hAnsi="SimSun" w:eastAsia="SimSun" w:cs="SimSun"/>
        </w:rPr>
        <w:drawing>
          <wp:inline distT="0" distB="0" distL="114300" distR="114300">
            <wp:extent cx="161925" cy="161925"/>
            <wp:effectExtent l="0" t="0" r="3175" b="3175"/>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w:t>
      </w:r>
    </w:p>
    <w:p w14:paraId="71CF1C58">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lang w:val="en-US" w:eastAsia="zh-CN"/>
        </w:rPr>
        <w:t>异体字“</w:t>
      </w:r>
      <w:r>
        <w:rPr>
          <w:rFonts w:hint="eastAsia" w:ascii="SimSun" w:hAnsi="SimSun" w:eastAsia="SimSun" w:cs="SimSun"/>
        </w:rPr>
        <w:drawing>
          <wp:inline distT="0" distB="0" distL="114300" distR="114300">
            <wp:extent cx="161925" cy="161925"/>
            <wp:effectExtent l="0" t="0" r="3175" b="3175"/>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”作为汉字“举”的异体形式，广泛出现在广西壮族的清代文献中。在清道光时期的《送圣母小儿书》和清晚期的《灵宝升度秘法大全》中，“</w:t>
      </w:r>
      <w:r>
        <w:rPr>
          <w:rFonts w:hint="eastAsia" w:ascii="SimSun" w:hAnsi="SimSun" w:eastAsia="SimSun" w:cs="SimSun"/>
        </w:rPr>
        <w:drawing>
          <wp:inline distT="0" distB="0" distL="114300" distR="114300">
            <wp:extent cx="161925" cy="161925"/>
            <wp:effectExtent l="0" t="0" r="3175" b="3175"/>
            <wp:docPr id="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lang w:val="en-US" w:eastAsia="zh-CN"/>
        </w:rPr>
        <w:t>”字被多次使用，并且仍然保留着汉语中的原始意义，主要用于表示“举起”或“推举”等含义。这一字的使用，展现了广西壮族地区在接受中原汉字文化过程中对文字形式的延续性和传统性</w:t>
      </w:r>
      <w:r>
        <w:rPr>
          <w:rFonts w:hint="eastAsia" w:ascii="SimSun" w:hAnsi="SimSun" w:eastAsia="SimSun" w:cs="SimSun"/>
          <w:sz w:val="24"/>
          <w:szCs w:val="24"/>
          <w:lang w:val="en-US" w:eastAsia="zh-CN"/>
        </w:rPr>
        <w:t>。然而，这一字形的文化传播并未止步于广西壮族地区。在越南的喃字体系中，同样出现了</w:t>
      </w:r>
      <w:r>
        <w:rPr>
          <w:rFonts w:hint="eastAsia" w:ascii="SimSun" w:hAnsi="SimSun" w:eastAsia="SimSun" w:cs="SimSun"/>
        </w:rPr>
        <w:drawing>
          <wp:inline distT="0" distB="0" distL="114300" distR="114300">
            <wp:extent cx="161925" cy="161925"/>
            <wp:effectExtent l="0" t="0" r="3175" b="3175"/>
            <wp:docPr id="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字，但其语义已经发生了显著变化，并被赋予多样化的新含义。</w:t>
      </w:r>
    </w:p>
    <w:p w14:paraId="1989F962">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根据越南的《Tự Điển Chữ Nôm Dẫn Giải》</w:t>
      </w:r>
      <w:r>
        <w:rPr>
          <w:rFonts w:hint="eastAsia" w:ascii="SimSun" w:hAnsi="SimSun" w:eastAsia="SimSun" w:cs="SimSun"/>
          <w:sz w:val="24"/>
          <w:szCs w:val="24"/>
          <w:vertAlign w:val="superscript"/>
          <w:lang w:val="en-US" w:eastAsia="zh-CN"/>
        </w:rPr>
        <w:fldChar w:fldCharType="begin"/>
      </w:r>
      <w:r>
        <w:rPr>
          <w:rFonts w:hint="eastAsia" w:ascii="SimSun" w:hAnsi="SimSun" w:eastAsia="SimSun" w:cs="SimSun"/>
          <w:sz w:val="24"/>
          <w:szCs w:val="24"/>
          <w:vertAlign w:val="superscript"/>
          <w:lang w:val="en-US" w:eastAsia="zh-CN"/>
        </w:rPr>
        <w:instrText xml:space="preserve"> REF _Ref15655 \r \h </w:instrText>
      </w:r>
      <w:r>
        <w:rPr>
          <w:rFonts w:hint="eastAsia" w:ascii="SimSun" w:hAnsi="SimSun" w:eastAsia="SimSun" w:cs="SimSun"/>
          <w:sz w:val="24"/>
          <w:szCs w:val="24"/>
          <w:vertAlign w:val="superscript"/>
          <w:lang w:val="en-US" w:eastAsia="zh-CN"/>
        </w:rPr>
        <w:fldChar w:fldCharType="separate"/>
      </w:r>
      <w:r>
        <w:rPr>
          <w:rFonts w:hint="eastAsia" w:ascii="SimSun" w:hAnsi="SimSun" w:eastAsia="SimSun" w:cs="SimSun"/>
          <w:sz w:val="24"/>
          <w:szCs w:val="24"/>
          <w:vertAlign w:val="superscript"/>
          <w:lang w:val="en-US" w:eastAsia="zh-CN"/>
        </w:rPr>
        <w:t>[23]</w:t>
      </w:r>
      <w:r>
        <w:rPr>
          <w:rFonts w:hint="eastAsia" w:ascii="SimSun" w:hAnsi="SimSun" w:eastAsia="SimSun" w:cs="SimSun"/>
          <w:sz w:val="24"/>
          <w:szCs w:val="24"/>
          <w:vertAlign w:val="superscript"/>
          <w:lang w:val="en-US" w:eastAsia="zh-CN"/>
        </w:rPr>
        <w:fldChar w:fldCharType="end"/>
      </w:r>
      <w:r>
        <w:rPr>
          <w:rFonts w:hint="eastAsia" w:ascii="SimSun" w:hAnsi="SimSun" w:eastAsia="SimSun" w:cs="SimSun"/>
          <w:sz w:val="24"/>
          <w:szCs w:val="24"/>
          <w:lang w:val="en-US" w:eastAsia="zh-CN"/>
        </w:rPr>
        <w:t>词典和zi.tools 字统网的相关释义，</w:t>
      </w:r>
      <w:r>
        <w:rPr>
          <w:rFonts w:hint="eastAsia" w:ascii="SimSun" w:hAnsi="SimSun" w:cs="SimSun"/>
          <w:sz w:val="24"/>
          <w:szCs w:val="24"/>
          <w:lang w:val="en-US" w:eastAsia="zh-CN"/>
        </w:rPr>
        <w:t>该</w:t>
      </w:r>
      <w:r>
        <w:rPr>
          <w:rFonts w:hint="eastAsia" w:ascii="SimSun" w:hAnsi="SimSun" w:eastAsia="SimSun" w:cs="SimSun"/>
          <w:sz w:val="24"/>
          <w:szCs w:val="24"/>
          <w:lang w:val="en-US" w:eastAsia="zh-CN"/>
        </w:rPr>
        <w:t>字在喃字体系中涵盖了多个语义层次：</w:t>
      </w:r>
    </w:p>
    <w:p w14:paraId="074C1BB6">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Cỡ：表示“大小、尺寸、规模”等含义，例如“cỡ lớn”意为“大尺寸”，“lỡ cỡ”意为“不成比例”。这一释义偏向于几何和度量概念，与汉字“举”的原义有较大差异。</w:t>
      </w:r>
    </w:p>
    <w:p w14:paraId="6E2FBE38">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Cử：表示“举起、提拔、推荐、选举”等含义，例如“cử tạ”意为“举重”，“bầu cử”意为“选举”，“cử tri”意为“选民”。这一释义与汉字“举”的传统用法较为接近，涵盖了动作和社会行为的多个层面。</w:t>
      </w:r>
    </w:p>
    <w:p w14:paraId="6955086A">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Cữ：表示“节制、戒律、禁忌”等含义，例如“kiêng cữ”意为“节制、戒掉”，“ở cữ”意为“坐月子”。这一释义则体现了</w:t>
      </w:r>
      <w:r>
        <w:rPr>
          <w:rFonts w:hint="eastAsia" w:ascii="SimSun" w:hAnsi="SimSun" w:cs="SimSun"/>
          <w:sz w:val="24"/>
          <w:szCs w:val="24"/>
          <w:lang w:val="en-US" w:eastAsia="zh-CN"/>
        </w:rPr>
        <w:t>该</w:t>
      </w:r>
      <w:r>
        <w:rPr>
          <w:rFonts w:hint="eastAsia" w:ascii="SimSun" w:hAnsi="SimSun" w:eastAsia="SimSun" w:cs="SimSun"/>
          <w:sz w:val="24"/>
          <w:szCs w:val="24"/>
          <w:lang w:val="en-US" w:eastAsia="zh-CN"/>
        </w:rPr>
        <w:t>字在越南语环境中的进一步语义扩展，涉及到生活习惯和风俗禁忌。</w:t>
      </w:r>
    </w:p>
    <w:p w14:paraId="34FF4A59">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除了上述释义，</w:t>
      </w:r>
      <w:r>
        <w:rPr>
          <w:rFonts w:hint="eastAsia" w:ascii="SimSun" w:hAnsi="SimSun" w:cs="SimSun"/>
          <w:sz w:val="24"/>
          <w:szCs w:val="24"/>
          <w:lang w:val="en-US" w:eastAsia="zh-CN"/>
        </w:rPr>
        <w:t>此</w:t>
      </w:r>
      <w:r>
        <w:rPr>
          <w:rFonts w:hint="eastAsia" w:ascii="SimSun" w:hAnsi="SimSun" w:eastAsia="SimSun" w:cs="SimSun"/>
          <w:sz w:val="24"/>
          <w:szCs w:val="24"/>
          <w:lang w:val="en-US" w:eastAsia="zh-CN"/>
        </w:rPr>
        <w:t>字在越南语中还出现了一种新的用法，即表示“门”或“入口”的概念。通过分析《Tự Điển Chữ Nôm Dẫn Giải》中的句例，可以更清晰地看到这一语义转化过程。</w:t>
      </w:r>
    </w:p>
    <w:p w14:paraId="76B0D6AF">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例句1（Phần Trần, 8b）：</w:t>
      </w:r>
    </w:p>
    <w:p w14:paraId="2AC92F30">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Trải xem thú lạ chiều xuân. Hoa cài cửa(</w:t>
      </w:r>
      <w:r>
        <w:rPr>
          <w:rFonts w:hint="eastAsia" w:ascii="SimSun" w:hAnsi="SimSun" w:eastAsia="SimSun" w:cs="SimSun"/>
        </w:rPr>
        <w:drawing>
          <wp:inline distT="0" distB="0" distL="114300" distR="114300">
            <wp:extent cx="161925" cy="161925"/>
            <wp:effectExtent l="0" t="0" r="3175" b="3175"/>
            <wp:docPr id="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 động, đá ngăn vách chiền.</w:t>
      </w:r>
      <w:r>
        <w:rPr>
          <w:rFonts w:hint="eastAsia" w:ascii="SimSun" w:hAnsi="SimSun" w:eastAsia="SimSun" w:cs="SimSun"/>
          <w:sz w:val="24"/>
          <w:szCs w:val="24"/>
          <w:lang w:val="en-US" w:eastAsia="zh-CN"/>
        </w:rPr>
        <w:br w:type="textWrapping"/>
      </w:r>
      <w:r>
        <w:rPr>
          <w:rFonts w:hint="eastAsia" w:ascii="SimSun" w:hAnsi="SimSun" w:eastAsia="SimSun" w:cs="SimSun"/>
          <w:sz w:val="24"/>
          <w:szCs w:val="24"/>
          <w:lang w:val="en-US" w:eastAsia="zh-CN"/>
        </w:rPr>
        <w:t>翻译：“春日傍晚，观赏奇趣。花朵点缀在山洞的门口，石头阻隔着岩壁的缝隙。”</w:t>
      </w:r>
    </w:p>
    <w:p w14:paraId="30A858A8">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在这段文字中，“cửa(</w:t>
      </w:r>
      <w:r>
        <w:rPr>
          <w:rFonts w:hint="eastAsia" w:ascii="SimSun" w:hAnsi="SimSun" w:eastAsia="SimSun" w:cs="SimSun"/>
        </w:rPr>
        <w:drawing>
          <wp:inline distT="0" distB="0" distL="114300" distR="114300">
            <wp:extent cx="161925" cy="161925"/>
            <wp:effectExtent l="0" t="0" r="3175" b="3175"/>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)”显然是用于表示“门”或“入口”的概念。结合上下文，这里指的是山洞的“入口”或“门户”，与汉字“举”的原义无关。这说明，</w:t>
      </w:r>
      <w:r>
        <w:rPr>
          <w:rFonts w:hint="eastAsia" w:ascii="SimSun" w:hAnsi="SimSun" w:cs="SimSun"/>
          <w:sz w:val="24"/>
          <w:szCs w:val="24"/>
          <w:lang w:val="en-US" w:eastAsia="zh-CN"/>
        </w:rPr>
        <w:t>此</w:t>
      </w:r>
      <w:bookmarkStart w:id="18" w:name="_GoBack"/>
      <w:bookmarkEnd w:id="18"/>
      <w:r>
        <w:rPr>
          <w:rFonts w:hint="eastAsia" w:ascii="SimSun" w:hAnsi="SimSun" w:eastAsia="SimSun" w:cs="SimSun"/>
          <w:sz w:val="24"/>
          <w:szCs w:val="24"/>
          <w:lang w:val="en-US" w:eastAsia="zh-CN"/>
        </w:rPr>
        <w:t>字在越南语环境中已经经历了语义转化，转而用来表达建筑物的开口或出入口。</w:t>
      </w:r>
    </w:p>
    <w:p w14:paraId="24825890">
      <w:pPr>
        <w:bidi w:val="0"/>
        <w:ind w:firstLine="480" w:firstLineChars="200"/>
        <w:rPr>
          <w:rFonts w:hint="eastAsia" w:ascii="SimSun" w:hAnsi="SimSun" w:eastAsia="SimSun" w:cs="SimSun"/>
          <w:sz w:val="24"/>
          <w:szCs w:val="24"/>
          <w:lang w:val="en-US" w:eastAsia="zh-CN"/>
        </w:rPr>
      </w:pPr>
    </w:p>
    <w:p w14:paraId="7E621A72">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例句2（Truyện Kiều, 55b）：</w:t>
      </w:r>
    </w:p>
    <w:p w14:paraId="40AAAF55">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Cửa(</w:t>
      </w:r>
      <w:r>
        <w:rPr>
          <w:rFonts w:hint="eastAsia" w:ascii="SimSun" w:hAnsi="SimSun" w:eastAsia="SimSun" w:cs="SimSun"/>
        </w:rPr>
        <w:drawing>
          <wp:inline distT="0" distB="0" distL="114300" distR="114300">
            <wp:extent cx="161925" cy="161925"/>
            <wp:effectExtent l="0" t="0" r="3175" b="3175"/>
            <wp:docPr id="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 phòng vội mở rèm châu. Trời cao bể rộng một màu bao la.</w:t>
      </w:r>
      <w:r>
        <w:rPr>
          <w:rFonts w:hint="eastAsia" w:ascii="SimSun" w:hAnsi="SimSun" w:eastAsia="SimSun" w:cs="SimSun"/>
          <w:sz w:val="24"/>
          <w:szCs w:val="24"/>
          <w:lang w:val="en-US" w:eastAsia="zh-CN"/>
        </w:rPr>
        <w:br w:type="textWrapping"/>
      </w:r>
      <w:r>
        <w:rPr>
          <w:rFonts w:hint="eastAsia" w:ascii="SimSun" w:hAnsi="SimSun" w:eastAsia="SimSun" w:cs="SimSun"/>
          <w:sz w:val="24"/>
          <w:szCs w:val="24"/>
          <w:lang w:val="en-US" w:eastAsia="zh-CN"/>
        </w:rPr>
        <w:t>翻译：“房门急忙拉开珠帘，天空与大海一片辽阔。”</w:t>
      </w:r>
    </w:p>
    <w:p w14:paraId="735D2F8F">
      <w:pPr>
        <w:bidi w:val="0"/>
        <w:ind w:firstLine="480" w:firstLineChars="200"/>
        <w:rPr>
          <w:rFonts w:hint="eastAsia" w:ascii="SimSun" w:hAnsi="SimSun" w:eastAsia="SimSun" w:cs="SimSun"/>
          <w:sz w:val="24"/>
          <w:szCs w:val="24"/>
          <w:lang w:val="en-US" w:eastAsia="zh-CN"/>
        </w:rPr>
      </w:pPr>
      <w:r>
        <w:rPr>
          <w:rFonts w:hint="eastAsia" w:ascii="SimSun" w:hAnsi="SimSun" w:eastAsia="SimSun" w:cs="SimSun"/>
          <w:sz w:val="24"/>
          <w:szCs w:val="24"/>
          <w:lang w:val="en-US" w:eastAsia="zh-CN"/>
        </w:rPr>
        <w:t>在这一句中，“cửa(</w:t>
      </w:r>
      <w:r>
        <w:rPr>
          <w:rFonts w:hint="eastAsia" w:ascii="SimSun" w:hAnsi="SimSun" w:eastAsia="SimSun" w:cs="SimSun"/>
        </w:rPr>
        <w:drawing>
          <wp:inline distT="0" distB="0" distL="114300" distR="114300">
            <wp:extent cx="161925" cy="161925"/>
            <wp:effectExtent l="0" t="0" r="3175" b="3175"/>
            <wp:docPr id="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ascii="SimSun" w:hAnsi="SimSun" w:eastAsia="SimSun" w:cs="SimSun"/>
          <w:sz w:val="24"/>
          <w:szCs w:val="24"/>
          <w:lang w:val="en-US" w:eastAsia="zh-CN"/>
        </w:rPr>
        <w:t>)”指的是房间的“门”或“门口”。结合越南语中的“cửa”一词，它的意思是“门”或“入口”，依然和建筑物的开口相关。这一用法进一步表明，该字在越南喃字体系中，不止保留汉字“举”的原始意义，更发展出了一种全新的地方化含义。</w:t>
      </w:r>
    </w:p>
    <w:p w14:paraId="4C1A1F1F">
      <w:pPr>
        <w:bidi w:val="0"/>
        <w:ind w:firstLine="480" w:firstLineChars="200"/>
        <w:rPr>
          <w:rFonts w:hint="eastAsia" w:ascii="SimSun" w:hAnsi="SimSun" w:eastAsia="SimSun" w:cs="SimSun"/>
          <w:sz w:val="24"/>
          <w:szCs w:val="24"/>
          <w:lang w:val="en-US" w:eastAsia="zh-CN"/>
        </w:rPr>
      </w:pPr>
    </w:p>
    <w:p w14:paraId="6AE4389A">
      <w:pPr>
        <w:bidi w:val="0"/>
        <w:ind w:firstLine="480" w:firstLineChars="200"/>
        <w:rPr>
          <w:rFonts w:hint="eastAsia"/>
          <w:lang w:val="en-US" w:eastAsia="zh-CN"/>
        </w:rPr>
      </w:pPr>
      <w:r>
        <w:rPr>
          <w:rFonts w:hint="eastAsia"/>
          <w:lang w:val="en-US" w:eastAsia="zh-CN"/>
        </w:rPr>
        <w:t>小结：</w:t>
      </w:r>
    </w:p>
    <w:p w14:paraId="526F21EF">
      <w:pPr>
        <w:bidi w:val="0"/>
        <w:ind w:firstLine="480" w:firstLineChars="200"/>
        <w:rPr>
          <w:rFonts w:hint="eastAsia"/>
          <w:lang w:val="en-US" w:eastAsia="zh-CN"/>
        </w:rPr>
      </w:pPr>
      <w:r>
        <w:rPr>
          <w:rFonts w:hint="eastAsia"/>
          <w:lang w:val="en-US" w:eastAsia="zh-CN"/>
        </w:rPr>
        <w:t>通过对</w:t>
      </w:r>
      <w:r>
        <w:rPr>
          <w:rFonts w:hint="eastAsia" w:ascii="SimSun" w:hAnsi="SimSun" w:eastAsia="SimSun" w:cs="SimSun"/>
        </w:rPr>
        <w:drawing>
          <wp:inline distT="0" distB="0" distL="114300" distR="114300">
            <wp:extent cx="161925" cy="161925"/>
            <wp:effectExtent l="0" t="0" r="3175" b="3175"/>
            <wp:docPr id="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pic:cNvPicPr>
                      <a:picLocks noChangeAspect="1"/>
                    </pic:cNvPicPr>
                  </pic:nvPicPr>
                  <pic:blipFill>
                    <a:blip r:embed="rId9"/>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字与</w:t>
      </w:r>
      <w:r>
        <w:rPr>
          <w:rFonts w:hint="eastAsia" w:ascii="SimSun" w:hAnsi="SimSun" w:eastAsia="SimSun" w:cs="SimSun"/>
        </w:rPr>
        <w:drawing>
          <wp:inline distT="0" distB="0" distL="114300" distR="114300">
            <wp:extent cx="161925" cy="161925"/>
            <wp:effectExtent l="0" t="0" r="3175" b="3175"/>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10"/>
                    <a:stretch>
                      <a:fillRect/>
                    </a:stretch>
                  </pic:blipFill>
                  <pic:spPr>
                    <a:xfrm>
                      <a:off x="0" y="0"/>
                      <a:ext cx="161925" cy="161925"/>
                    </a:xfrm>
                    <a:prstGeom prst="rect">
                      <a:avLst/>
                    </a:prstGeom>
                    <a:noFill/>
                    <a:ln>
                      <a:noFill/>
                    </a:ln>
                  </pic:spPr>
                </pic:pic>
              </a:graphicData>
            </a:graphic>
          </wp:inline>
        </w:drawing>
      </w:r>
      <w:r>
        <w:rPr>
          <w:rFonts w:hint="eastAsia"/>
          <w:lang w:val="en-US" w:eastAsia="zh-CN"/>
        </w:rPr>
        <w:t>字在壮族文献和越南喃字词典中的使用情况的分析，可以清晰地看到汉字异体字的跨文化传播路径。从汉族地区传入壮族地区，再经由壮族文化向越南文化圈扩展，这一过程不仅展示了汉字文化在不同民族和语言环境中的传播与演变，还揭示了少数民族地区在文化交流中的桥梁作用。广西壮族地区在这一传播过程中，不仅是中原文化的被动接受者，更是文化传播的积极推动者，其在语言和文字的本地化过程中对汉字进行了改造和再创造，从而推动汉字文化进一步向南延伸。</w:t>
      </w:r>
    </w:p>
    <w:p w14:paraId="42BB38E3">
      <w:pPr>
        <w:bidi w:val="0"/>
        <w:ind w:firstLine="480" w:firstLineChars="200"/>
        <w:rPr>
          <w:rFonts w:hint="eastAsia"/>
          <w:lang w:val="en-US" w:eastAsia="zh-CN"/>
        </w:rPr>
      </w:pPr>
      <w:r>
        <w:rPr>
          <w:rFonts w:hint="eastAsia"/>
          <w:lang w:val="en-US" w:eastAsia="zh-CN"/>
        </w:rPr>
        <w:t>这种传播路径，正是中国“天下体系”在文化上的具体体现。在之前所讨论的“天下体系”理论中指出，“天下”并非基于疆域的固定划分，而是一个动态的文明网络，通过文化、礼仪、制度的传播，逐步将边缘地区纳入文明秩序之中。壮族地区作为中原文化与东南亚文化圈的交界地带，在这一体系中发挥了文化中介的角色，将汉字文化进一步向南传播。这种“从中心到边缘，再由边缘辐射至更远文化圈”的传播模式，展现了“天下体系”的内在逻辑：文化的传播并非单向的输出，而是通过地方文化的吸收与适应，形成了多层次的互动与扩展。</w:t>
      </w:r>
    </w:p>
    <w:p w14:paraId="228EFE7F">
      <w:pPr>
        <w:bidi w:val="0"/>
        <w:ind w:firstLine="480" w:firstLineChars="200"/>
        <w:rPr>
          <w:rFonts w:hint="eastAsia"/>
          <w:lang w:val="en-US" w:eastAsia="zh-CN"/>
        </w:rPr>
      </w:pPr>
      <w:r>
        <w:rPr>
          <w:rFonts w:hint="eastAsia"/>
          <w:lang w:val="en-US" w:eastAsia="zh-CN"/>
        </w:rPr>
        <w:t>从文化节奏的角度来看，汉字异体字在壮族文献中的保留与地方化，体现了边缘文化的缓慢传播节奏；而其在越南文化圈中的再创造，则展示了跨文化传播的动态适应性。这种双向互动的传播模式，不仅为理解汉字文化的全球影响力提供了新的视角，也为研究东南亚汉字文化圈的形成和扩展提供了重要的实证依据。在这一过程中，少数民族地区既是汉文化的承载者，也是新的文化意义的创造者，通过跨文化的传播路径，体现了“天下体系”中的多元共在与包容精神。</w:t>
      </w:r>
    </w:p>
    <w:p w14:paraId="163A2173">
      <w:pPr>
        <w:bidi w:val="0"/>
        <w:ind w:firstLine="480" w:firstLineChars="200"/>
        <w:rPr>
          <w:rFonts w:hint="eastAsia"/>
          <w:lang w:val="en-US" w:eastAsia="zh-CN"/>
        </w:rPr>
      </w:pPr>
      <w:r>
        <w:rPr>
          <w:rFonts w:hint="eastAsia"/>
          <w:lang w:val="en-US" w:eastAsia="zh-CN"/>
        </w:rPr>
        <w:t>然而，这一传播路径的研究也暴露出现有材料的局限性。例如，对于部分异体字的使用情况及其语义变化，目前尚缺乏系统的语言学和历史学研究，导致对这些字形的传播过程及其本地化适应的理解仍不够全面。未来的研究可结合田野调查和跨学科对比，进一步探讨异体字在更广泛的东南亚地区的传播情况，尤其是其在语言、文化认同和社会结构中的作用。</w:t>
      </w:r>
    </w:p>
    <w:p w14:paraId="4B31B98C">
      <w:pPr>
        <w:bidi w:val="0"/>
        <w:ind w:firstLine="480" w:firstLineChars="200"/>
        <w:rPr>
          <w:rFonts w:hint="eastAsia"/>
          <w:lang w:val="en-US" w:eastAsia="zh-CN"/>
        </w:rPr>
      </w:pPr>
      <w:r>
        <w:rPr>
          <w:rFonts w:hint="eastAsia"/>
          <w:lang w:val="en-US" w:eastAsia="zh-CN"/>
        </w:rPr>
        <w:t>因此，汉字异体字的跨文化传播，不仅仅是文字形式的延续，更是文化意义的动态构建过程。通过这一过程，我们可以更加深入地理解汉文化在边缘与异域地区的适应与再创造现象，进而揭示出中华文明在多元文化互动中的包容性与延展性，以及其作为一个文明体在全球历史进程中的重要地位。</w:t>
      </w:r>
    </w:p>
    <w:p w14:paraId="2C3B71E4">
      <w:pPr>
        <w:pStyle w:val="2"/>
        <w:bidi w:val="0"/>
        <w:rPr>
          <w:rFonts w:hint="eastAsia"/>
          <w:lang w:val="en-US" w:eastAsia="zh-CN"/>
        </w:rPr>
      </w:pPr>
      <w:r>
        <w:rPr>
          <w:rFonts w:hint="eastAsia"/>
          <w:lang w:val="en-US" w:eastAsia="zh-CN"/>
        </w:rPr>
        <w:t>总结：从涟漪到远山的回响——文字的文化节奏与多元共生之路</w:t>
      </w:r>
    </w:p>
    <w:p w14:paraId="53DA59D9">
      <w:pPr>
        <w:ind w:firstLine="480" w:firstLineChars="200"/>
        <w:rPr>
          <w:rFonts w:hint="eastAsia"/>
          <w:lang w:val="en-US" w:eastAsia="zh-CN"/>
        </w:rPr>
      </w:pPr>
      <w:r>
        <w:rPr>
          <w:rFonts w:hint="eastAsia"/>
          <w:lang w:val="en-US" w:eastAsia="zh-CN"/>
        </w:rPr>
        <w:t>本文通过对清代中晚期西南少数民族地区与汉族地区异体字传承的对比分析，揭示了不同文化群体在文字演变中的“文化节奏”差异。这一差异不仅反映了汉文化向边缘地区传播的递减效应，也体现了边缘地区在文化传承中的韧性与适应力。少数民族地区的文字保留现象，并非单纯的历史遗留，而是地方文化在吸收和改造汉文化过程中，表现出的创造性和独立性。边缘文化以其独特的节奏承载并延续了汉文化中被淘汰的异体字，形成了既保守又创新的文化传承模式。这一文化现象如同陶渊明笔下的“桃花源”，在历史深处延续着古老的文化韵律。</w:t>
      </w:r>
    </w:p>
    <w:p w14:paraId="20065DF9">
      <w:pPr>
        <w:ind w:firstLine="480" w:firstLineChars="200"/>
        <w:rPr>
          <w:rFonts w:hint="eastAsia"/>
          <w:lang w:val="en-US" w:eastAsia="zh-CN"/>
        </w:rPr>
      </w:pPr>
      <w:r>
        <w:rPr>
          <w:rFonts w:hint="eastAsia"/>
          <w:lang w:val="en-US" w:eastAsia="zh-CN"/>
        </w:rPr>
        <w:t>通过“天下体系”的文化框架分析，本文指出，汉族地区的文字规范化进程体现了中心文化传播的速度与权力逻辑，而边缘少数民族地区则保留了更多异体字，展现出缓慢的文化节奏。这种中心与边缘的互动模式，不仅是中国历史上文化传播路径的体现，也反映了中华文明多元共生的内在结构。少数民族地区并非被动接受汉文化的边缘地带，而是在文字的地方化、化用和再创造过程中，主动参与了汉字文化的动态构建，为理解中华文明的整体性与多样性提供了新的视角。</w:t>
      </w:r>
    </w:p>
    <w:p w14:paraId="17375D82">
      <w:pPr>
        <w:ind w:firstLine="480" w:firstLineChars="200"/>
        <w:rPr>
          <w:rFonts w:hint="eastAsia"/>
          <w:lang w:val="en-US" w:eastAsia="zh-CN"/>
        </w:rPr>
      </w:pPr>
      <w:r>
        <w:rPr>
          <w:rFonts w:hint="eastAsia"/>
          <w:lang w:val="en-US" w:eastAsia="zh-CN"/>
        </w:rPr>
        <w:t>从更广泛的历史和文化视野来看，异体字的传承现象揭示了中华文明在文字规范化过程中所体现的包容性与灵活性。边缘文化的独立性与韧性，使得汉文化在地方社会的接受过程中并未出现断裂或排斥，而是通过文字的适应和融合，形成了多层次、多样化的文化表达方式。异体字不仅是地方文化记忆的载体，更是文化互动的见证，承载着不同民族在历史变迁中的文化认同和情感纽带。</w:t>
      </w:r>
    </w:p>
    <w:p w14:paraId="26DE5E71">
      <w:pPr>
        <w:ind w:firstLine="480" w:firstLineChars="200"/>
        <w:rPr>
          <w:rFonts w:hint="eastAsia"/>
          <w:lang w:val="en-US" w:eastAsia="zh-CN"/>
        </w:rPr>
      </w:pPr>
      <w:r>
        <w:rPr>
          <w:rFonts w:hint="eastAsia"/>
          <w:lang w:val="en-US" w:eastAsia="zh-CN"/>
        </w:rPr>
        <w:t>在现代语境中，这一研究为文化多样性保护与文化认同实践提供了重要启示。随着全球化和信息化的快速发展，少数民族文化和语言面临着巨大的冲击与挑战。如何在文字标准化和现代化的过程中，保护和传承少数民族的文化遗产，已成为文化多样性保护的重要课题。本研究的发现表明，文化节奏的差异是文化多样性存在的重要机制，文字的多样性与地方文化的活力密不可分。在现代文化政策的制定中，应注重尊重不同文化群体的文化节奏，避免过度追求文化同质化和标准化，而忽视地方文化的创造性与独立性。</w:t>
      </w:r>
    </w:p>
    <w:p w14:paraId="2F77E171">
      <w:pPr>
        <w:ind w:firstLine="480" w:firstLineChars="200"/>
        <w:rPr>
          <w:rFonts w:hint="eastAsia"/>
          <w:lang w:val="en-US" w:eastAsia="zh-CN"/>
        </w:rPr>
      </w:pPr>
      <w:r>
        <w:rPr>
          <w:rFonts w:hint="eastAsia"/>
          <w:lang w:val="en-US" w:eastAsia="zh-CN"/>
        </w:rPr>
        <w:t>总之，清代西南少数民族地区的异体字传承现象，体现了边缘文化的韧性与活力，为理解中华文明的多元一体特性提供了重要的研究样本。这一现象既是中国历史上中心文化与边缘文化互动的缩影，也是现代文化政策制定的重要参考。在未来的研究中，可以进一步加强对民族文献的整理与释读工作，从跨学科的视角出发，探讨文字、语言和社会文化互动的深层机制，为文化多样性保护与传承提供更为系统的理论支撑与实践指导。</w:t>
      </w:r>
    </w:p>
    <w:p w14:paraId="555C7A67">
      <w:pPr>
        <w:rPr>
          <w:rFonts w:hint="eastAsia"/>
          <w:lang w:val="en-US" w:eastAsia="zh-CN"/>
        </w:rPr>
      </w:pPr>
    </w:p>
    <w:p w14:paraId="5DFC89B6">
      <w:pPr>
        <w:pStyle w:val="17"/>
        <w:keepNext w:val="0"/>
        <w:keepLines w:val="0"/>
        <w:widowControl/>
        <w:suppressLineNumbers w:val="0"/>
        <w:spacing w:line="360" w:lineRule="auto"/>
        <w:rPr>
          <w:rFonts w:hint="eastAsia" w:ascii="SimSun" w:hAnsi="SimSun" w:eastAsia="SimSun" w:cs="SimSun"/>
          <w:lang w:val="en-US" w:eastAsia="zh-CN"/>
        </w:rPr>
      </w:pPr>
    </w:p>
    <w:p w14:paraId="467F91AB">
      <w:pPr>
        <w:pStyle w:val="17"/>
        <w:keepNext w:val="0"/>
        <w:keepLines w:val="0"/>
        <w:widowControl/>
        <w:suppressLineNumbers w:val="0"/>
        <w:spacing w:line="360" w:lineRule="auto"/>
        <w:rPr>
          <w:rFonts w:hint="eastAsia" w:ascii="SimSun" w:hAnsi="SimSun" w:eastAsia="SimSun" w:cs="SimSun"/>
          <w:lang w:val="en-US" w:eastAsia="zh-CN"/>
        </w:rPr>
      </w:pPr>
    </w:p>
    <w:p w14:paraId="254C357A">
      <w:pPr>
        <w:pStyle w:val="17"/>
        <w:keepNext w:val="0"/>
        <w:keepLines w:val="0"/>
        <w:widowControl/>
        <w:suppressLineNumbers w:val="0"/>
        <w:spacing w:line="360" w:lineRule="auto"/>
        <w:rPr>
          <w:rFonts w:hint="eastAsia" w:ascii="SimSun" w:hAnsi="SimSun" w:eastAsia="SimSun" w:cs="SimSun"/>
        </w:rPr>
      </w:pPr>
    </w:p>
    <w:p w14:paraId="08C8C61F">
      <w:pPr>
        <w:pStyle w:val="17"/>
        <w:keepNext w:val="0"/>
        <w:keepLines w:val="0"/>
        <w:widowControl/>
        <w:suppressLineNumbers w:val="0"/>
        <w:spacing w:line="360" w:lineRule="auto"/>
        <w:rPr>
          <w:rFonts w:hint="eastAsia" w:ascii="SimSun" w:hAnsi="SimSun" w:eastAsia="SimSun" w:cs="SimSun"/>
        </w:rPr>
      </w:pPr>
    </w:p>
    <w:p w14:paraId="5E346DAE">
      <w:pPr>
        <w:rPr>
          <w:rFonts w:hint="eastAsia" w:ascii="方块壮字宋体" w:hAnsi="方块壮字宋体" w:eastAsia="方块壮字宋体" w:cs="方块壮字宋体"/>
          <w:sz w:val="28"/>
          <w:szCs w:val="28"/>
          <w:lang w:val="en-US" w:eastAsia="zh-CN"/>
        </w:rPr>
      </w:pPr>
      <w:r>
        <w:rPr>
          <w:rFonts w:hint="eastAsia" w:ascii="方块壮字宋体" w:hAnsi="方块壮字宋体" w:eastAsia="方块壮字宋体" w:cs="方块壮字宋体"/>
          <w:sz w:val="28"/>
          <w:szCs w:val="28"/>
          <w:lang w:val="en-US" w:eastAsia="zh-CN"/>
        </w:rPr>
        <w:br w:type="page"/>
      </w:r>
    </w:p>
    <w:p w14:paraId="367A5748">
      <w:pPr>
        <w:pStyle w:val="17"/>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0" w:beforeAutospacing="1" w:after="0" w:afterAutospacing="1" w:line="400" w:lineRule="exact"/>
        <w:ind w:right="0" w:rightChars="0"/>
        <w:jc w:val="center"/>
        <w:textAlignment w:val="auto"/>
        <w:rPr>
          <w:rFonts w:hint="eastAsia" w:ascii="SimHei" w:hAnsi="SimHei" w:eastAsia="SimHei" w:cs="SimHei"/>
          <w:b/>
          <w:bCs/>
          <w:sz w:val="32"/>
          <w:szCs w:val="32"/>
          <w:lang w:val="en-US" w:eastAsia="zh-CN"/>
        </w:rPr>
      </w:pPr>
      <w:bookmarkStart w:id="0" w:name="_Ref14218"/>
      <w:r>
        <w:rPr>
          <w:rFonts w:hint="eastAsia" w:ascii="SimHei" w:hAnsi="SimHei" w:eastAsia="SimHei" w:cs="SimHei"/>
          <w:b/>
          <w:bCs/>
          <w:sz w:val="32"/>
          <w:szCs w:val="32"/>
          <w:lang w:val="en-US" w:eastAsia="zh-CN"/>
        </w:rPr>
        <w:t>参考文献</w:t>
      </w:r>
    </w:p>
    <w:p w14:paraId="740E7F81">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i w:val="0"/>
          <w:iCs w:val="0"/>
          <w:lang w:val="en-US" w:eastAsia="zh-CN"/>
        </w:rPr>
      </w:pPr>
      <w:r>
        <w:rPr>
          <w:rFonts w:hint="eastAsia" w:ascii="楷体" w:hAnsi="楷体" w:eastAsia="楷体" w:cs="楷体"/>
          <w:lang w:val="en-US" w:eastAsia="zh-CN"/>
        </w:rPr>
        <w:t xml:space="preserve">陶渊明. (420–421). </w:t>
      </w:r>
      <w:r>
        <w:rPr>
          <w:rFonts w:hint="eastAsia" w:ascii="楷体" w:hAnsi="楷体" w:eastAsia="楷体" w:cs="楷体"/>
          <w:i w:val="0"/>
          <w:iCs w:val="0"/>
          <w:lang w:val="en-US" w:eastAsia="zh-CN"/>
        </w:rPr>
        <w:t>桃花源记. 收录于《陶渊明集》 (第163–166页). 北京: 中华书局.</w:t>
      </w:r>
      <w:bookmarkEnd w:id="0"/>
    </w:p>
    <w:p w14:paraId="185429C8">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i w:val="0"/>
          <w:iCs w:val="0"/>
        </w:rPr>
      </w:pPr>
      <w:bookmarkStart w:id="1" w:name="_Ref13552"/>
      <w:r>
        <w:rPr>
          <w:rFonts w:hint="eastAsia" w:ascii="楷体" w:hAnsi="楷体" w:eastAsia="楷体" w:cs="楷体"/>
          <w:i w:val="0"/>
          <w:iCs w:val="0"/>
        </w:rPr>
        <w:t>赵汀阳. (2016). 惠此中国：作为一个神性概念的中国. 第18页</w:t>
      </w:r>
      <w:r>
        <w:rPr>
          <w:rFonts w:hint="eastAsia" w:ascii="楷体" w:hAnsi="楷体" w:eastAsia="楷体" w:cs="楷体"/>
          <w:i w:val="0"/>
          <w:iCs w:val="0"/>
          <w:lang w:eastAsia="zh-CN"/>
        </w:rPr>
        <w:t>，</w:t>
      </w:r>
      <w:r>
        <w:rPr>
          <w:rFonts w:hint="eastAsia" w:ascii="楷体" w:hAnsi="楷体" w:eastAsia="楷体" w:cs="楷体"/>
          <w:i w:val="0"/>
          <w:iCs w:val="0"/>
        </w:rPr>
        <w:t>中信出版集团.</w:t>
      </w:r>
      <w:bookmarkEnd w:id="1"/>
    </w:p>
    <w:p w14:paraId="17454186">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i w:val="0"/>
          <w:iCs w:val="0"/>
        </w:rPr>
      </w:pPr>
      <w:bookmarkStart w:id="2" w:name="_Ref16854"/>
      <w:r>
        <w:rPr>
          <w:rFonts w:hint="eastAsia" w:ascii="楷体" w:hAnsi="楷体" w:eastAsia="楷体" w:cs="楷体"/>
          <w:i w:val="0"/>
          <w:iCs w:val="0"/>
        </w:rPr>
        <w:t>谭其骧. (主编). (1982). 中国历史地图集. 中国地图出版社.</w:t>
      </w:r>
      <w:bookmarkEnd w:id="2"/>
    </w:p>
    <w:p w14:paraId="62C99C3B">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3" w:name="_Ref17922"/>
      <w:r>
        <w:rPr>
          <w:rFonts w:hint="eastAsia" w:ascii="楷体" w:hAnsi="楷体" w:eastAsia="楷体" w:cs="楷体"/>
          <w:lang w:val="en-US" w:eastAsia="zh-CN"/>
        </w:rPr>
        <w:t>同</w:t>
      </w:r>
      <w:r>
        <w:rPr>
          <w:rFonts w:hint="eastAsia" w:ascii="楷体" w:hAnsi="楷体" w:eastAsia="楷体" w:cs="楷体"/>
          <w:lang w:val="en-US" w:eastAsia="zh-CN"/>
        </w:rPr>
        <w:fldChar w:fldCharType="begin"/>
      </w:r>
      <w:r>
        <w:rPr>
          <w:rFonts w:hint="eastAsia" w:ascii="楷体" w:hAnsi="楷体" w:eastAsia="楷体" w:cs="楷体"/>
          <w:lang w:val="en-US" w:eastAsia="zh-CN"/>
        </w:rPr>
        <w:instrText xml:space="preserve"> REF _Ref13552 \r \h </w:instrText>
      </w:r>
      <w:r>
        <w:rPr>
          <w:rFonts w:hint="eastAsia" w:ascii="楷体" w:hAnsi="楷体" w:eastAsia="楷体" w:cs="楷体"/>
          <w:lang w:val="en-US" w:eastAsia="zh-CN"/>
        </w:rPr>
        <w:fldChar w:fldCharType="separate"/>
      </w:r>
      <w:r>
        <w:rPr>
          <w:rFonts w:hint="eastAsia" w:ascii="楷体" w:hAnsi="楷体" w:eastAsia="楷体" w:cs="楷体"/>
          <w:lang w:val="en-US" w:eastAsia="zh-CN"/>
        </w:rPr>
        <w:t>[2]</w:t>
      </w:r>
      <w:r>
        <w:rPr>
          <w:rFonts w:hint="eastAsia" w:ascii="楷体" w:hAnsi="楷体" w:eastAsia="楷体" w:cs="楷体"/>
          <w:lang w:val="en-US" w:eastAsia="zh-CN"/>
        </w:rPr>
        <w:fldChar w:fldCharType="end"/>
      </w:r>
      <w:r>
        <w:rPr>
          <w:rFonts w:hint="eastAsia" w:ascii="楷体" w:hAnsi="楷体" w:eastAsia="楷体" w:cs="楷体"/>
          <w:lang w:val="en-US" w:eastAsia="zh-CN"/>
        </w:rPr>
        <w:t>，第15页</w:t>
      </w:r>
      <w:bookmarkEnd w:id="3"/>
    </w:p>
    <w:p w14:paraId="4D7C4705">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4" w:name="_Ref21057"/>
      <w:r>
        <w:rPr>
          <w:rFonts w:hint="eastAsia" w:ascii="楷体" w:hAnsi="楷体" w:eastAsia="楷体" w:cs="楷体"/>
        </w:rPr>
        <w:t>葛兆光. (2011). 宅兹中国：重建有关「中国」的历史论述. 中华书局.</w:t>
      </w:r>
      <w:r>
        <w:rPr>
          <w:rFonts w:hint="eastAsia" w:ascii="楷体" w:hAnsi="楷体" w:eastAsia="楷体" w:cs="楷体"/>
          <w:i w:val="0"/>
          <w:iCs w:val="0"/>
        </w:rPr>
        <w:t>第</w:t>
      </w:r>
      <w:r>
        <w:rPr>
          <w:rFonts w:hint="eastAsia" w:ascii="楷体" w:hAnsi="楷体" w:eastAsia="楷体" w:cs="楷体"/>
          <w:i w:val="0"/>
          <w:iCs w:val="0"/>
          <w:lang w:val="en-US" w:eastAsia="zh-CN"/>
        </w:rPr>
        <w:t>35</w:t>
      </w:r>
      <w:r>
        <w:rPr>
          <w:rFonts w:hint="eastAsia" w:ascii="楷体" w:hAnsi="楷体" w:eastAsia="楷体" w:cs="楷体"/>
          <w:i w:val="0"/>
          <w:iCs w:val="0"/>
        </w:rPr>
        <w:t>页</w:t>
      </w:r>
      <w:bookmarkEnd w:id="4"/>
    </w:p>
    <w:p w14:paraId="528D0E9D">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5" w:name="_Ref6844"/>
      <w:r>
        <w:rPr>
          <w:rFonts w:hint="eastAsia" w:ascii="楷体" w:hAnsi="楷体" w:eastAsia="楷体" w:cs="楷体"/>
        </w:rPr>
        <w:t>孔安国（传），陆德明（音义）. (宋代刊本). 尚书. 景乌程刘氏嘉业堂藏宋刊本（四部丛刊本）.</w:t>
      </w:r>
      <w:bookmarkEnd w:id="5"/>
    </w:p>
    <w:p w14:paraId="7D0824C5">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rPr>
        <w:t>吴飞. (2014). 五服图与古代中国的亲属制度. 中国社会科学, 2014年(02).</w:t>
      </w:r>
    </w:p>
    <w:p w14:paraId="44B207AE">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6" w:name="_Ref562"/>
      <w:r>
        <w:rPr>
          <w:rFonts w:hint="eastAsia" w:ascii="楷体" w:hAnsi="楷体" w:eastAsia="楷体" w:cs="楷体"/>
        </w:rPr>
        <w:t>张玉书, &amp; 陈廷敬等. (主编). (1716). 康熙字典. 清代刻本.</w:t>
      </w:r>
      <w:bookmarkEnd w:id="6"/>
    </w:p>
    <w:p w14:paraId="103DDF46">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lang w:val="en-US" w:eastAsia="zh-CN"/>
        </w:rPr>
        <w:t>勾建帅（收藏）. (清道光). 送圣母小儿书 (手抄本). 民间藏，北京市朝阳区.</w:t>
      </w:r>
      <w:bookmarkStart w:id="7" w:name="_Ref4582"/>
    </w:p>
    <w:p w14:paraId="6C26F5F8">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lang w:val="en-US" w:eastAsia="zh-CN"/>
        </w:rPr>
        <w:t>勾建帅（收藏）. (清晚期). 灵宝升度秘法大全 (手抄本). 民间藏，北京市朝阳区.</w:t>
      </w:r>
    </w:p>
    <w:p w14:paraId="6D2B5CEE">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rPr>
        <w:t>富春堂（刊行）. (约明嘉靖–万历 [1522–1620]). 岳飞破虏东窗记. 金陵.</w:t>
      </w:r>
      <w:bookmarkEnd w:id="7"/>
    </w:p>
    <w:p w14:paraId="16796315">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8" w:name="_Ref4627"/>
      <w:r>
        <w:rPr>
          <w:rFonts w:hint="eastAsia" w:ascii="楷体" w:hAnsi="楷体" w:eastAsia="楷体" w:cs="楷体"/>
        </w:rPr>
        <w:t>富春堂（刊行）. (约明嘉靖–万历 [1522–1620]). 薛仁贵跨海征东白袍记. 金陵.</w:t>
      </w:r>
      <w:bookmarkEnd w:id="8"/>
    </w:p>
    <w:p w14:paraId="41217333">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9" w:name="_Ref6179"/>
      <w:r>
        <w:rPr>
          <w:rFonts w:hint="eastAsia" w:ascii="楷体" w:hAnsi="楷体" w:eastAsia="楷体" w:cs="楷体"/>
        </w:rPr>
        <w:t>缪荃孙（编刻）. (清光绪–宣统). 玉牒初草卷一. 收录于《藕香零拾》（清光绪至宣统时期刊本）. 天津市市立图书馆藏.</w:t>
      </w:r>
      <w:bookmarkEnd w:id="9"/>
    </w:p>
    <w:p w14:paraId="06CE07C1">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0" w:name="_Ref6201"/>
      <w:r>
        <w:rPr>
          <w:rFonts w:hint="eastAsia" w:ascii="楷体" w:hAnsi="楷体" w:eastAsia="楷体" w:cs="楷体"/>
        </w:rPr>
        <w:t>金陵刻经处（刊行）. (清光绪十六 [1890]). 佛说四十二章经注. 首都图书馆藏.</w:t>
      </w:r>
      <w:bookmarkEnd w:id="10"/>
    </w:p>
    <w:p w14:paraId="2A1710D5">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lang w:val="en-US" w:eastAsia="zh-CN"/>
        </w:rPr>
        <w:t>勾建帅（收藏）. (清晚期). 祭酒科 (手抄本). 民间藏，北京市朝阳区.</w:t>
      </w:r>
    </w:p>
    <w:p w14:paraId="41D50264">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1" w:name="_Ref10773"/>
      <w:r>
        <w:rPr>
          <w:rFonts w:hint="eastAsia" w:ascii="楷体" w:hAnsi="楷体" w:eastAsia="楷体" w:cs="楷体"/>
        </w:rPr>
        <w:t>中华民国中央研究院历史语言研究所（编著）. (1930). 宋元以来俗字谱. 中华书局.</w:t>
      </w:r>
      <w:bookmarkEnd w:id="11"/>
    </w:p>
    <w:p w14:paraId="1FE42B30">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2" w:name="_Ref10825"/>
      <w:r>
        <w:rPr>
          <w:rFonts w:hint="eastAsia" w:ascii="楷体" w:hAnsi="楷体" w:eastAsia="楷体" w:cs="楷体"/>
        </w:rPr>
        <w:t>焦竑. (明万历). 俗书刊误. 明代刻本.</w:t>
      </w:r>
      <w:bookmarkEnd w:id="12"/>
    </w:p>
    <w:p w14:paraId="60E5FB60">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3" w:name="_Ref11132"/>
      <w:r>
        <w:rPr>
          <w:rFonts w:hint="eastAsia" w:ascii="楷体" w:hAnsi="楷体" w:eastAsia="楷体" w:cs="楷体"/>
        </w:rPr>
        <w:t>金鉷等（监修）. (清朝). 广西通志. 清代监修本.</w:t>
      </w:r>
      <w:bookmarkEnd w:id="13"/>
    </w:p>
    <w:p w14:paraId="346238C2">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4" w:name="_Ref11155"/>
      <w:r>
        <w:rPr>
          <w:rFonts w:hint="eastAsia" w:ascii="楷体" w:hAnsi="楷体" w:eastAsia="楷体" w:cs="楷体"/>
        </w:rPr>
        <w:t>杨新益, 梁精华, &amp; 赵纯心. (1997). 广西教育史. 广西师范大学出版社.</w:t>
      </w:r>
      <w:bookmarkEnd w:id="14"/>
    </w:p>
    <w:p w14:paraId="77823D36">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5" w:name="_Ref12586"/>
      <w:r>
        <w:rPr>
          <w:rFonts w:hint="eastAsia" w:ascii="楷体" w:hAnsi="楷体" w:eastAsia="楷体" w:cs="楷体"/>
        </w:rPr>
        <w:t>蓝武, &amp; 黄东成. (2019). 明代广西书院发展的历史分期、时代特征及其多维成因 [J]. 黑龙江社会科学, 2019(2), 136–143.</w:t>
      </w:r>
      <w:bookmarkEnd w:id="15"/>
    </w:p>
    <w:p w14:paraId="15AE0B8D">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lang w:val="en-US" w:eastAsia="zh-CN"/>
        </w:rPr>
        <w:t>勾建帅（收藏）. (清光绪). 㰖梠浪 (手抄本). 民间藏，北京市朝阳区.</w:t>
      </w:r>
    </w:p>
    <w:p w14:paraId="25EDA408">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6" w:name="_Ref15449"/>
      <w:r>
        <w:rPr>
          <w:rFonts w:hint="eastAsia" w:ascii="楷体" w:hAnsi="楷体" w:eastAsia="楷体" w:cs="楷体"/>
        </w:rPr>
        <w:t>Hoàng, T. Â. (2003). Tự điển chữ Nôm Tày. Hà Nội: Nxb Khoa học Xã hội.</w:t>
      </w:r>
      <w:bookmarkEnd w:id="16"/>
    </w:p>
    <w:p w14:paraId="4E2D02C8">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bookmarkStart w:id="17" w:name="_Ref15655"/>
      <w:r>
        <w:rPr>
          <w:rFonts w:hint="eastAsia" w:ascii="楷体" w:hAnsi="楷体" w:eastAsia="楷体" w:cs="楷体"/>
        </w:rPr>
        <w:t>Nguyễn, Q. H. (2014). Tự Điển Chữ Nôm Dẫn Giải. Hà Nội: Nhà Xuất Bản Giáo Dục Việt Nam.</w:t>
      </w:r>
      <w:bookmarkEnd w:id="17"/>
    </w:p>
    <w:p w14:paraId="5F7F4E6A">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rPr>
        <w:t>Nguyễn, D. (1820). Truyện Kiều (金云翘传).</w:t>
      </w:r>
    </w:p>
    <w:p w14:paraId="0A600B9D">
      <w:pPr>
        <w:pStyle w:val="17"/>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left="480" w:leftChars="0" w:hanging="480" w:firstLineChars="0"/>
        <w:jc w:val="both"/>
        <w:textAlignment w:val="auto"/>
        <w:rPr>
          <w:rFonts w:hint="eastAsia" w:ascii="楷体" w:hAnsi="楷体" w:eastAsia="楷体" w:cs="楷体"/>
        </w:rPr>
      </w:pPr>
      <w:r>
        <w:rPr>
          <w:rFonts w:hint="eastAsia" w:ascii="楷体" w:hAnsi="楷体" w:eastAsia="楷体" w:cs="楷体"/>
        </w:rPr>
        <w:t>Anonymous. (Early 19th century). Phan Trần (潘陈传).</w:t>
      </w:r>
    </w:p>
    <w:p w14:paraId="25E4FD6D">
      <w:pPr>
        <w:spacing w:line="360" w:lineRule="auto"/>
        <w:jc w:val="both"/>
        <w:rPr>
          <w:rFonts w:hint="eastAsia" w:ascii="SimSun" w:hAnsi="SimSun" w:eastAsia="SimSun" w:cs="SimSun"/>
          <w:b w:val="0"/>
          <w:bCs w:val="0"/>
          <w:sz w:val="21"/>
          <w:szCs w:val="21"/>
          <w:lang w:val="en-US" w:eastAsia="zh-CN"/>
        </w:rPr>
      </w:pPr>
    </w:p>
    <w:p w14:paraId="50B876AF">
      <w:pPr>
        <w:bidi w:val="0"/>
        <w:jc w:val="left"/>
      </w:pPr>
    </w:p>
    <w:sectPr>
      <w:footnotePr>
        <w:numFmt w:val="decimalEnclosedCircleChinese"/>
        <w:numRestart w:val="eachPage"/>
      </w:foot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0" w:usb1="00000000" w:usb2="00000006" w:usb3="00000000" w:csb0="00040001" w:csb1="00000000"/>
  </w:font>
  <w:font w:name="SimHei">
    <w:altName w:val="汉仪中黑KW"/>
    <w:panose1 w:val="02010609060101010101"/>
    <w:charset w:val="86"/>
    <w:family w:val="auto"/>
    <w:pitch w:val="default"/>
    <w:sig w:usb0="00000000" w:usb1="00000000" w:usb2="00000016" w:usb3="00000000" w:csb0="00040001" w:csb1="00000000"/>
  </w:font>
  <w:font w:name="Arial">
    <w:panose1 w:val="020B0604020202090204"/>
    <w:charset w:val="01"/>
    <w:family w:val="swiss"/>
    <w:pitch w:val="default"/>
    <w:sig w:usb0="E0000AFF" w:usb1="00007843" w:usb2="00000001" w:usb3="00000000" w:csb0="400001BF" w:csb1="DFF70000"/>
  </w:font>
  <w:font w:name="楷体">
    <w:altName w:val="汉仪楷体KW"/>
    <w:panose1 w:val="02010609060101010101"/>
    <w:charset w:val="86"/>
    <w:family w:val="auto"/>
    <w:pitch w:val="default"/>
    <w:sig w:usb0="00000000" w:usb1="00000000" w:usb2="00000016" w:usb3="00000000" w:csb0="00040001" w:csb1="00000000"/>
  </w:font>
  <w:font w:name="方块壮字宋体">
    <w:altName w:val="汉仪书宋二KW"/>
    <w:panose1 w:val="02000500000000000000"/>
    <w:charset w:val="86"/>
    <w:family w:val="auto"/>
    <w:pitch w:val="default"/>
    <w:sig w:usb0="00000000" w:usb1="00000000" w:usb2="0400001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苹方-简">
    <w:panose1 w:val="020B0400000000000000"/>
    <w:charset w:val="86"/>
    <w:family w:val="auto"/>
    <w:pitch w:val="default"/>
    <w:sig w:usb0="A00002FF" w:usb1="7ACFFDFB" w:usb2="00000017" w:usb3="00000000" w:csb0="00040001" w:csb1="00000000"/>
  </w:font>
  <w:font w:name="汉仪中等线KW">
    <w:panose1 w:val="01010104010101010101"/>
    <w:charset w:val="86"/>
    <w:family w:val="auto"/>
    <w:pitch w:val="default"/>
    <w:sig w:usb0="800002BF" w:usb1="004F7CFA"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pPr>
      <w:r>
        <w:separator/>
      </w:r>
    </w:p>
  </w:footnote>
  <w:footnote w:type="continuationSeparator" w:id="3">
    <w:p>
      <w:pPr>
        <w:spacing w:line="360" w:lineRule="auto"/>
      </w:pPr>
      <w:r>
        <w:continuationSeparator/>
      </w:r>
    </w:p>
  </w:footnote>
  <w:footnote w:id="0">
    <w:p w14:paraId="3CFECFD2">
      <w:pPr>
        <w:pStyle w:val="15"/>
        <w:snapToGrid w:val="0"/>
      </w:pPr>
      <w:r>
        <w:rPr>
          <w:rStyle w:val="14"/>
        </w:rPr>
        <w:footnoteRef/>
      </w:r>
      <w:r>
        <w:t xml:space="preserve"> </w:t>
      </w:r>
      <w:r>
        <w:rPr>
          <w:rFonts w:hint="default"/>
          <w:lang w:val="en-US"/>
        </w:rPr>
        <w:fldChar w:fldCharType="begin"/>
      </w:r>
      <w:r>
        <w:rPr>
          <w:rFonts w:hint="default"/>
          <w:lang w:val="en-US"/>
        </w:rPr>
        <w:instrText xml:space="preserve"> REF _Ref14218 \h </w:instrText>
      </w:r>
      <w:r>
        <w:rPr>
          <w:rFonts w:hint="default"/>
          <w:lang w:val="en-US"/>
        </w:rPr>
        <w:fldChar w:fldCharType="separate"/>
      </w:r>
      <w:r>
        <w:rPr>
          <w:rFonts w:hint="eastAsia" w:ascii="楷体" w:hAnsi="楷体" w:eastAsia="楷体" w:cs="楷体"/>
          <w:lang w:val="en-US" w:eastAsia="zh-CN"/>
        </w:rPr>
        <w:t xml:space="preserve">陶渊明. (420–421). </w:t>
      </w:r>
      <w:r>
        <w:rPr>
          <w:rFonts w:hint="eastAsia" w:ascii="楷体" w:hAnsi="楷体" w:eastAsia="楷体" w:cs="楷体"/>
          <w:i/>
          <w:iCs/>
          <w:lang w:val="en-US" w:eastAsia="zh-CN"/>
        </w:rPr>
        <w:t>桃花源记.</w:t>
      </w:r>
      <w:r>
        <w:rPr>
          <w:rFonts w:hint="eastAsia" w:ascii="楷体" w:hAnsi="楷体" w:eastAsia="楷体" w:cs="楷体"/>
          <w:lang w:val="en-US" w:eastAsia="zh-CN"/>
        </w:rPr>
        <w:t xml:space="preserve"> 收录于《陶渊明集》 (第163–166页). 北京: 中华书局.</w:t>
      </w:r>
      <w:r>
        <w:rPr>
          <w:rFonts w:hint="default"/>
          <w:lang w:val="en-US"/>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65BE1"/>
    <w:multiLevelType w:val="singleLevel"/>
    <w:tmpl w:val="82965BE1"/>
    <w:lvl w:ilvl="0" w:tentative="0">
      <w:start w:val="1"/>
      <w:numFmt w:val="decimal"/>
      <w:suff w:val="space"/>
      <w:lvlText w:val="[%1]"/>
      <w:lvlJc w:val="left"/>
      <w:pPr>
        <w:ind w:left="480" w:leftChars="0" w:hanging="480" w:firstLineChars="0"/>
      </w:pPr>
      <w:rPr>
        <w:rFonts w:hint="default"/>
      </w:rPr>
    </w:lvl>
  </w:abstractNum>
  <w:abstractNum w:abstractNumId="1">
    <w:nsid w:val="2F184020"/>
    <w:multiLevelType w:val="multilevel"/>
    <w:tmpl w:val="2F184020"/>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CB2BCF"/>
    <w:rsid w:val="007A6F63"/>
    <w:rsid w:val="00892F4B"/>
    <w:rsid w:val="01FD7164"/>
    <w:rsid w:val="028429F3"/>
    <w:rsid w:val="02DC3F04"/>
    <w:rsid w:val="0370464D"/>
    <w:rsid w:val="03EC461B"/>
    <w:rsid w:val="045D5BC2"/>
    <w:rsid w:val="04814F93"/>
    <w:rsid w:val="04C97F10"/>
    <w:rsid w:val="05160A69"/>
    <w:rsid w:val="057B5C57"/>
    <w:rsid w:val="06DD1CC5"/>
    <w:rsid w:val="06FF11EC"/>
    <w:rsid w:val="073F391F"/>
    <w:rsid w:val="07E83ACA"/>
    <w:rsid w:val="08C6368D"/>
    <w:rsid w:val="08F024B8"/>
    <w:rsid w:val="0AC53267"/>
    <w:rsid w:val="0B460AB5"/>
    <w:rsid w:val="0B7B0681"/>
    <w:rsid w:val="0BA77581"/>
    <w:rsid w:val="0C47068D"/>
    <w:rsid w:val="0D127E81"/>
    <w:rsid w:val="0D2E4C03"/>
    <w:rsid w:val="102B2962"/>
    <w:rsid w:val="10D12BCF"/>
    <w:rsid w:val="125C296C"/>
    <w:rsid w:val="12ED7A68"/>
    <w:rsid w:val="13762D0D"/>
    <w:rsid w:val="13BF7656"/>
    <w:rsid w:val="158F12AA"/>
    <w:rsid w:val="16B5089D"/>
    <w:rsid w:val="17046F7B"/>
    <w:rsid w:val="19887AAC"/>
    <w:rsid w:val="1A777714"/>
    <w:rsid w:val="1B4144C9"/>
    <w:rsid w:val="1BEE3C6A"/>
    <w:rsid w:val="1CC9529A"/>
    <w:rsid w:val="1D197C79"/>
    <w:rsid w:val="1E4E3AB1"/>
    <w:rsid w:val="1F2D676D"/>
    <w:rsid w:val="204F1D62"/>
    <w:rsid w:val="2079508A"/>
    <w:rsid w:val="21BF4458"/>
    <w:rsid w:val="2220383E"/>
    <w:rsid w:val="22963C78"/>
    <w:rsid w:val="231B77CA"/>
    <w:rsid w:val="23700025"/>
    <w:rsid w:val="25F62228"/>
    <w:rsid w:val="263E08AF"/>
    <w:rsid w:val="264C2116"/>
    <w:rsid w:val="27BB0E76"/>
    <w:rsid w:val="294656A8"/>
    <w:rsid w:val="296A3769"/>
    <w:rsid w:val="298356DD"/>
    <w:rsid w:val="29DB01C2"/>
    <w:rsid w:val="2A105D66"/>
    <w:rsid w:val="2A390483"/>
    <w:rsid w:val="2B3D19E8"/>
    <w:rsid w:val="2BD33847"/>
    <w:rsid w:val="2BFB66F7"/>
    <w:rsid w:val="2CFC1B72"/>
    <w:rsid w:val="2DF06932"/>
    <w:rsid w:val="2E0917A2"/>
    <w:rsid w:val="2E110657"/>
    <w:rsid w:val="2E7B1FCE"/>
    <w:rsid w:val="30D81900"/>
    <w:rsid w:val="31974426"/>
    <w:rsid w:val="32131899"/>
    <w:rsid w:val="32AE6532"/>
    <w:rsid w:val="32ED1980"/>
    <w:rsid w:val="330D5E4B"/>
    <w:rsid w:val="33DA1665"/>
    <w:rsid w:val="358B56A8"/>
    <w:rsid w:val="36006414"/>
    <w:rsid w:val="36BE5858"/>
    <w:rsid w:val="36EC6AFA"/>
    <w:rsid w:val="373038B8"/>
    <w:rsid w:val="377E5066"/>
    <w:rsid w:val="396E1053"/>
    <w:rsid w:val="399B34CA"/>
    <w:rsid w:val="399F2FBB"/>
    <w:rsid w:val="39EE7D02"/>
    <w:rsid w:val="3AA14FA4"/>
    <w:rsid w:val="3C26744A"/>
    <w:rsid w:val="3CAA05F4"/>
    <w:rsid w:val="3CF96E86"/>
    <w:rsid w:val="3DAA0DF1"/>
    <w:rsid w:val="3E3A0475"/>
    <w:rsid w:val="3E9118F7"/>
    <w:rsid w:val="3EB61701"/>
    <w:rsid w:val="4061546E"/>
    <w:rsid w:val="40A6275B"/>
    <w:rsid w:val="419E53EB"/>
    <w:rsid w:val="41AA41C0"/>
    <w:rsid w:val="41D1217F"/>
    <w:rsid w:val="42493A39"/>
    <w:rsid w:val="42CB5740"/>
    <w:rsid w:val="42FD13D5"/>
    <w:rsid w:val="436C03B1"/>
    <w:rsid w:val="441E71D2"/>
    <w:rsid w:val="449626DC"/>
    <w:rsid w:val="44BE6401"/>
    <w:rsid w:val="45051259"/>
    <w:rsid w:val="46763125"/>
    <w:rsid w:val="47385407"/>
    <w:rsid w:val="47596E9F"/>
    <w:rsid w:val="47BF63C2"/>
    <w:rsid w:val="47E10C42"/>
    <w:rsid w:val="48224E01"/>
    <w:rsid w:val="498A0229"/>
    <w:rsid w:val="499C3073"/>
    <w:rsid w:val="49FB270E"/>
    <w:rsid w:val="4A231058"/>
    <w:rsid w:val="4A2A68D0"/>
    <w:rsid w:val="4BDB58A6"/>
    <w:rsid w:val="4C365A00"/>
    <w:rsid w:val="4CBE1552"/>
    <w:rsid w:val="4D275349"/>
    <w:rsid w:val="4D4E0B28"/>
    <w:rsid w:val="4DC14E43"/>
    <w:rsid w:val="4DCA69F7"/>
    <w:rsid w:val="4F1D4C56"/>
    <w:rsid w:val="4FCB2BCF"/>
    <w:rsid w:val="4FF14039"/>
    <w:rsid w:val="4FF82FCD"/>
    <w:rsid w:val="4FFC486B"/>
    <w:rsid w:val="502F4C40"/>
    <w:rsid w:val="50591245"/>
    <w:rsid w:val="505C7A00"/>
    <w:rsid w:val="5106757A"/>
    <w:rsid w:val="51864D34"/>
    <w:rsid w:val="52191529"/>
    <w:rsid w:val="534837A5"/>
    <w:rsid w:val="5367660C"/>
    <w:rsid w:val="53D742F7"/>
    <w:rsid w:val="53E06252"/>
    <w:rsid w:val="54DC110F"/>
    <w:rsid w:val="558328E6"/>
    <w:rsid w:val="55B81234"/>
    <w:rsid w:val="55D32512"/>
    <w:rsid w:val="56921A85"/>
    <w:rsid w:val="56B75DEB"/>
    <w:rsid w:val="57281004"/>
    <w:rsid w:val="57FE0B88"/>
    <w:rsid w:val="596F4300"/>
    <w:rsid w:val="5B5157C0"/>
    <w:rsid w:val="5C043425"/>
    <w:rsid w:val="5D5A6C50"/>
    <w:rsid w:val="5D79574D"/>
    <w:rsid w:val="5EB95743"/>
    <w:rsid w:val="5EDF6613"/>
    <w:rsid w:val="61556E8F"/>
    <w:rsid w:val="6388493C"/>
    <w:rsid w:val="644F0FB6"/>
    <w:rsid w:val="64803D7C"/>
    <w:rsid w:val="64915201"/>
    <w:rsid w:val="64B654D9"/>
    <w:rsid w:val="653E102A"/>
    <w:rsid w:val="66C64D00"/>
    <w:rsid w:val="67CA4DF7"/>
    <w:rsid w:val="684828EC"/>
    <w:rsid w:val="686D44C4"/>
    <w:rsid w:val="68FB72E9"/>
    <w:rsid w:val="692A0243"/>
    <w:rsid w:val="692B3D09"/>
    <w:rsid w:val="697F233D"/>
    <w:rsid w:val="6A0C77DB"/>
    <w:rsid w:val="6A233796"/>
    <w:rsid w:val="6A535578"/>
    <w:rsid w:val="6A9C2A7B"/>
    <w:rsid w:val="6B0F5943"/>
    <w:rsid w:val="6B206B06"/>
    <w:rsid w:val="6C891370"/>
    <w:rsid w:val="6EDA1DC4"/>
    <w:rsid w:val="6F502086"/>
    <w:rsid w:val="70C82A0E"/>
    <w:rsid w:val="70DC56C9"/>
    <w:rsid w:val="71CC633B"/>
    <w:rsid w:val="724907B5"/>
    <w:rsid w:val="72535E64"/>
    <w:rsid w:val="72686A49"/>
    <w:rsid w:val="72691DDC"/>
    <w:rsid w:val="72DB435C"/>
    <w:rsid w:val="74446AC0"/>
    <w:rsid w:val="74B87FBF"/>
    <w:rsid w:val="757614C7"/>
    <w:rsid w:val="75AA2F76"/>
    <w:rsid w:val="75EB2B08"/>
    <w:rsid w:val="76783F68"/>
    <w:rsid w:val="76D35A76"/>
    <w:rsid w:val="78285630"/>
    <w:rsid w:val="78E26855"/>
    <w:rsid w:val="78FB084F"/>
    <w:rsid w:val="797B01C8"/>
    <w:rsid w:val="79B67BDC"/>
    <w:rsid w:val="7A9E193A"/>
    <w:rsid w:val="7C9E6B26"/>
    <w:rsid w:val="7D143191"/>
    <w:rsid w:val="7D207DB1"/>
    <w:rsid w:val="7D575FCD"/>
    <w:rsid w:val="7D5B4A17"/>
    <w:rsid w:val="7DC9372F"/>
    <w:rsid w:val="7E3239CA"/>
    <w:rsid w:val="7F7FC565"/>
    <w:rsid w:val="BB7F8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SimSun" w:asciiTheme="minorAscii" w:hAnsiTheme="minorAscii" w:cstheme="minorBidi"/>
      <w:kern w:val="2"/>
      <w:sz w:val="24"/>
      <w:szCs w:val="24"/>
      <w:lang w:val="en-US" w:eastAsia="zh-CN" w:bidi="ar-SA"/>
    </w:rPr>
  </w:style>
  <w:style w:type="paragraph" w:styleId="2">
    <w:name w:val="heading 1"/>
    <w:basedOn w:val="1"/>
    <w:next w:val="1"/>
    <w:link w:val="19"/>
    <w:qFormat/>
    <w:uiPriority w:val="0"/>
    <w:pPr>
      <w:keepNext/>
      <w:keepLines/>
      <w:numPr>
        <w:ilvl w:val="0"/>
        <w:numId w:val="1"/>
      </w:numPr>
      <w:spacing w:before="340" w:beforeLines="0" w:beforeAutospacing="0" w:after="330" w:afterLines="0" w:afterAutospacing="0" w:line="576" w:lineRule="auto"/>
      <w:outlineLvl w:val="0"/>
    </w:pPr>
    <w:rPr>
      <w:rFonts w:eastAsia="SimHei" w:asciiTheme="minorAscii" w:hAnsiTheme="minorAscii"/>
      <w:b/>
      <w:kern w:val="44"/>
      <w:sz w:val="32"/>
    </w:rPr>
  </w:style>
  <w:style w:type="paragraph" w:styleId="3">
    <w:name w:val="heading 2"/>
    <w:basedOn w:val="1"/>
    <w:next w:val="1"/>
    <w:link w:val="20"/>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SimHei"/>
      <w:b/>
      <w:sz w:val="28"/>
    </w:rPr>
  </w:style>
  <w:style w:type="paragraph" w:styleId="4">
    <w:name w:val="heading 3"/>
    <w:basedOn w:val="1"/>
    <w:next w:val="1"/>
    <w:link w:val="21"/>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SimHei"/>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SimHei"/>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SimHei"/>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SimHei"/>
      <w:sz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mphasis"/>
    <w:basedOn w:val="11"/>
    <w:qFormat/>
    <w:uiPriority w:val="0"/>
    <w:rPr>
      <w:i/>
    </w:rPr>
  </w:style>
  <w:style w:type="character" w:styleId="14">
    <w:name w:val="footnote reference"/>
    <w:basedOn w:val="11"/>
    <w:qFormat/>
    <w:uiPriority w:val="0"/>
    <w:rPr>
      <w:vertAlign w:val="superscript"/>
    </w:rPr>
  </w:style>
  <w:style w:type="paragraph" w:styleId="15">
    <w:name w:val="footnote text"/>
    <w:basedOn w:val="1"/>
    <w:link w:val="22"/>
    <w:qFormat/>
    <w:uiPriority w:val="0"/>
    <w:pPr>
      <w:snapToGrid w:val="0"/>
      <w:jc w:val="left"/>
    </w:pPr>
    <w:rPr>
      <w:sz w:val="18"/>
    </w:rPr>
  </w:style>
  <w:style w:type="character" w:styleId="16">
    <w:name w:val="Hyperlink"/>
    <w:basedOn w:val="11"/>
    <w:qFormat/>
    <w:uiPriority w:val="0"/>
    <w:rPr>
      <w:color w:val="0000FF"/>
      <w:u w:val="single"/>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1"/>
    <w:qFormat/>
    <w:uiPriority w:val="0"/>
    <w:rPr>
      <w:b/>
    </w:rPr>
  </w:style>
  <w:style w:type="character" w:customStyle="1" w:styleId="19">
    <w:name w:val="标题 1 Char"/>
    <w:link w:val="2"/>
    <w:qFormat/>
    <w:uiPriority w:val="0"/>
    <w:rPr>
      <w:rFonts w:eastAsia="SimHei" w:asciiTheme="minorAscii" w:hAnsiTheme="minorAscii"/>
      <w:b/>
      <w:kern w:val="44"/>
      <w:sz w:val="32"/>
    </w:rPr>
  </w:style>
  <w:style w:type="character" w:customStyle="1" w:styleId="20">
    <w:name w:val="标题 2 Char"/>
    <w:link w:val="3"/>
    <w:qFormat/>
    <w:uiPriority w:val="0"/>
    <w:rPr>
      <w:rFonts w:ascii="Arial" w:hAnsi="Arial" w:eastAsia="SimHei"/>
      <w:b/>
      <w:sz w:val="28"/>
    </w:rPr>
  </w:style>
  <w:style w:type="character" w:customStyle="1" w:styleId="21">
    <w:name w:val="标题 3 Char"/>
    <w:link w:val="4"/>
    <w:qFormat/>
    <w:uiPriority w:val="0"/>
    <w:rPr>
      <w:b/>
      <w:sz w:val="32"/>
    </w:rPr>
  </w:style>
  <w:style w:type="character" w:customStyle="1" w:styleId="22">
    <w:name w:val="脚注文本 Char"/>
    <w:link w:val="15"/>
    <w:qFormat/>
    <w:uiPriority w:val="0"/>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12359</Words>
  <Characters>12974</Characters>
  <Lines>0</Lines>
  <Paragraphs>0</Paragraphs>
  <TotalTime>288</TotalTime>
  <ScaleCrop>false</ScaleCrop>
  <LinksUpToDate>false</LinksUpToDate>
  <CharactersWithSpaces>13183</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2024-12-28T01:53:00Z</dcterms:created>
  <dc:creator>Boge Xiao</dc:creator>
  <cp:lastModifiedBy>Boge Xiao</cp:lastModifiedBy>
  <dcterms:modified xsi:type="dcterms:W3CDTF">2026-08-05T14:34:37Z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F6845654BA12463C916F343728E107F7_11</vt:lpwstr>
  </property>
  <property fmtid="{D5CDD505-2E9C-101B-9397-08002B2CF9AE}" pid="4" name="KSOTemplateDocerSaveRecord">
    <vt:lpwstr>eyJoZGlkIjoiOGMwNDM0MDY0MDBlNjFlYmVjMmRjNTJjZjcyOWE4NjAiLCJ1c2VySWQiOiI0MzY4NjkzODIifQ==</vt:lpwstr>
  </property>
</Properties>
</file>